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3A66E4" w14:textId="77777777" w:rsidR="006C0BE6" w:rsidRPr="006C0BE6" w:rsidRDefault="006C0BE6" w:rsidP="006C0BE6">
      <w:pPr>
        <w:jc w:val="center"/>
      </w:pPr>
      <w:bookmarkStart w:id="0" w:name="_CITRUS_ITALIC"/>
      <w:bookmarkEnd w:id="0"/>
      <w:r w:rsidRPr="006C0BE6">
        <w:t>UNITED STATES DISTRICT COURT</w:t>
      </w:r>
    </w:p>
    <w:p w14:paraId="748A1B5B" w14:textId="77777777" w:rsidR="006C0BE6" w:rsidRPr="006C0BE6" w:rsidRDefault="006C0BE6" w:rsidP="006C0BE6">
      <w:pPr>
        <w:tabs>
          <w:tab w:val="center" w:pos="4680"/>
          <w:tab w:val="left" w:pos="8193"/>
        </w:tabs>
      </w:pPr>
      <w:r>
        <w:tab/>
      </w:r>
      <w:r w:rsidRPr="006C0BE6">
        <w:t>DISCRICT OF MOOT</w:t>
      </w:r>
      <w:r>
        <w:tab/>
      </w:r>
    </w:p>
    <w:p w14:paraId="71486CDD" w14:textId="77777777" w:rsidR="006C0BE6" w:rsidRPr="006C0BE6" w:rsidRDefault="006C0BE6" w:rsidP="006C0BE6"/>
    <w:tbl>
      <w:tblPr>
        <w:tblW w:w="0" w:type="auto"/>
        <w:tblInd w:w="36" w:type="dxa"/>
        <w:tblBorders>
          <w:top w:val="single" w:sz="4" w:space="0" w:color="auto"/>
          <w:bottom w:val="single" w:sz="4" w:space="0" w:color="auto"/>
        </w:tblBorders>
        <w:tblCellMar>
          <w:left w:w="36" w:type="dxa"/>
          <w:right w:w="36" w:type="dxa"/>
        </w:tblCellMar>
        <w:tblLook w:val="0000" w:firstRow="0" w:lastRow="0" w:firstColumn="0" w:lastColumn="0" w:noHBand="0" w:noVBand="0"/>
      </w:tblPr>
      <w:tblGrid>
        <w:gridCol w:w="4662"/>
        <w:gridCol w:w="792"/>
        <w:gridCol w:w="3942"/>
      </w:tblGrid>
      <w:tr w:rsidR="006C0BE6" w:rsidRPr="006C0BE6" w14:paraId="756E8B8B" w14:textId="77777777" w:rsidTr="006C0BE6">
        <w:trPr>
          <w:trHeight w:val="2960"/>
        </w:trPr>
        <w:tc>
          <w:tcPr>
            <w:tcW w:w="4662" w:type="dxa"/>
          </w:tcPr>
          <w:p w14:paraId="02854F67" w14:textId="77777777" w:rsidR="006C0BE6" w:rsidRPr="006C0BE6" w:rsidRDefault="006C0BE6" w:rsidP="006C0BE6"/>
          <w:p w14:paraId="4F43D24C" w14:textId="77777777" w:rsidR="006C0BE6" w:rsidRPr="006C0BE6" w:rsidRDefault="006C0BE6" w:rsidP="006C0BE6">
            <w:r w:rsidRPr="006C0BE6">
              <w:t xml:space="preserve">OGS TV, Inc. </w:t>
            </w:r>
          </w:p>
          <w:p w14:paraId="77E78A12" w14:textId="77777777" w:rsidR="006C0BE6" w:rsidRPr="006C0BE6" w:rsidRDefault="006C0BE6" w:rsidP="006C0BE6"/>
          <w:p w14:paraId="08A8CAEE" w14:textId="77777777" w:rsidR="006C0BE6" w:rsidRPr="006C0BE6" w:rsidRDefault="006C0BE6" w:rsidP="005936DE">
            <w:pPr>
              <w:jc w:val="center"/>
            </w:pPr>
            <w:r w:rsidRPr="006C0BE6">
              <w:t>Plaintiff,</w:t>
            </w:r>
          </w:p>
          <w:p w14:paraId="4E7DBFA3" w14:textId="77777777" w:rsidR="006C0BE6" w:rsidRPr="006C0BE6" w:rsidRDefault="006C0BE6" w:rsidP="006C0BE6"/>
          <w:p w14:paraId="492DAC60" w14:textId="77777777" w:rsidR="006C0BE6" w:rsidRPr="006C0BE6" w:rsidRDefault="006C0BE6" w:rsidP="006C0BE6">
            <w:proofErr w:type="gramStart"/>
            <w:r w:rsidRPr="006C0BE6">
              <w:t>v</w:t>
            </w:r>
            <w:proofErr w:type="gramEnd"/>
            <w:r w:rsidRPr="006C0BE6">
              <w:t>.</w:t>
            </w:r>
          </w:p>
          <w:p w14:paraId="783AC8BF" w14:textId="77777777" w:rsidR="006C0BE6" w:rsidRPr="006C0BE6" w:rsidRDefault="006C0BE6" w:rsidP="006C0BE6"/>
          <w:p w14:paraId="02343A7B" w14:textId="77777777" w:rsidR="006C0BE6" w:rsidRPr="006C0BE6" w:rsidRDefault="006C0BE6" w:rsidP="006C0BE6">
            <w:r w:rsidRPr="006C0BE6">
              <w:t xml:space="preserve">Elizabeth Lime, and </w:t>
            </w:r>
            <w:proofErr w:type="spellStart"/>
            <w:r w:rsidRPr="006C0BE6">
              <w:t>TinyTV</w:t>
            </w:r>
            <w:proofErr w:type="spellEnd"/>
            <w:r w:rsidRPr="006C0BE6">
              <w:t xml:space="preserve">, Inc. </w:t>
            </w:r>
          </w:p>
          <w:p w14:paraId="28B43429" w14:textId="77777777" w:rsidR="006C0BE6" w:rsidRPr="006C0BE6" w:rsidRDefault="006C0BE6" w:rsidP="006C0BE6"/>
          <w:p w14:paraId="2441DA92" w14:textId="77777777" w:rsidR="006C0BE6" w:rsidRPr="006C0BE6" w:rsidRDefault="006C0BE6" w:rsidP="005936DE">
            <w:pPr>
              <w:jc w:val="center"/>
            </w:pPr>
            <w:r w:rsidRPr="006C0BE6">
              <w:t>Defendants.</w:t>
            </w:r>
          </w:p>
        </w:tc>
        <w:tc>
          <w:tcPr>
            <w:tcW w:w="792" w:type="dxa"/>
          </w:tcPr>
          <w:p w14:paraId="0D6ADD12" w14:textId="77777777" w:rsidR="006C0BE6" w:rsidRPr="006C0BE6" w:rsidRDefault="006C0BE6" w:rsidP="006C0BE6"/>
          <w:p w14:paraId="57AFC0B2" w14:textId="77777777" w:rsidR="006C0BE6" w:rsidRPr="006C0BE6" w:rsidRDefault="006C0BE6" w:rsidP="006C0BE6">
            <w:r w:rsidRPr="006C0BE6">
              <w:t>)</w:t>
            </w:r>
          </w:p>
          <w:p w14:paraId="0C805F9C" w14:textId="77777777" w:rsidR="006C0BE6" w:rsidRPr="006C0BE6" w:rsidRDefault="006C0BE6" w:rsidP="006C0BE6">
            <w:r w:rsidRPr="006C0BE6">
              <w:t>)</w:t>
            </w:r>
          </w:p>
          <w:p w14:paraId="33E08936" w14:textId="77777777" w:rsidR="006C0BE6" w:rsidRPr="006C0BE6" w:rsidRDefault="006C0BE6" w:rsidP="006C0BE6">
            <w:r w:rsidRPr="006C0BE6">
              <w:t>)</w:t>
            </w:r>
          </w:p>
          <w:p w14:paraId="47FCB688" w14:textId="77777777" w:rsidR="006C0BE6" w:rsidRPr="006C0BE6" w:rsidRDefault="006C0BE6" w:rsidP="006C0BE6">
            <w:r w:rsidRPr="006C0BE6">
              <w:t>)</w:t>
            </w:r>
          </w:p>
          <w:p w14:paraId="44F3580C" w14:textId="77777777" w:rsidR="006C0BE6" w:rsidRPr="006C0BE6" w:rsidRDefault="006C0BE6" w:rsidP="006C0BE6">
            <w:r w:rsidRPr="006C0BE6">
              <w:t>)</w:t>
            </w:r>
          </w:p>
          <w:p w14:paraId="468599A1" w14:textId="77777777" w:rsidR="006C0BE6" w:rsidRPr="006C0BE6" w:rsidRDefault="006C0BE6" w:rsidP="006C0BE6">
            <w:r w:rsidRPr="006C0BE6">
              <w:t>)</w:t>
            </w:r>
          </w:p>
          <w:p w14:paraId="0E638417" w14:textId="77777777" w:rsidR="006C0BE6" w:rsidRPr="006C0BE6" w:rsidRDefault="006C0BE6" w:rsidP="006C0BE6">
            <w:r w:rsidRPr="006C0BE6">
              <w:t>)</w:t>
            </w:r>
          </w:p>
          <w:p w14:paraId="1ACF2E97" w14:textId="77777777" w:rsidR="006C0BE6" w:rsidRPr="006C0BE6" w:rsidRDefault="006C0BE6" w:rsidP="006C0BE6">
            <w:r w:rsidRPr="006C0BE6">
              <w:t>)</w:t>
            </w:r>
          </w:p>
          <w:p w14:paraId="193B0E3B" w14:textId="77777777" w:rsidR="006C0BE6" w:rsidRPr="006C0BE6" w:rsidRDefault="006C0BE6" w:rsidP="006C0BE6">
            <w:r w:rsidRPr="006C0BE6">
              <w:t>)</w:t>
            </w:r>
          </w:p>
        </w:tc>
        <w:tc>
          <w:tcPr>
            <w:tcW w:w="3942" w:type="dxa"/>
          </w:tcPr>
          <w:p w14:paraId="099DA9D4" w14:textId="77777777" w:rsidR="006C0BE6" w:rsidRPr="006C0BE6" w:rsidRDefault="006C0BE6" w:rsidP="006C0BE6"/>
          <w:p w14:paraId="0088ECEE" w14:textId="77777777" w:rsidR="006C0BE6" w:rsidRPr="006C0BE6" w:rsidRDefault="006C0BE6" w:rsidP="006C0BE6"/>
          <w:p w14:paraId="1FF621CE" w14:textId="77777777" w:rsidR="00252AD2" w:rsidRDefault="00252AD2" w:rsidP="006C0BE6"/>
          <w:p w14:paraId="407BB048" w14:textId="77777777" w:rsidR="006C0BE6" w:rsidRPr="006C0BE6" w:rsidRDefault="006C0BE6" w:rsidP="006C0BE6">
            <w:r w:rsidRPr="006C0BE6">
              <w:t>Court File No. 27-CV-12-1234</w:t>
            </w:r>
          </w:p>
          <w:p w14:paraId="64269455" w14:textId="77777777" w:rsidR="006C0BE6" w:rsidRPr="006C0BE6" w:rsidRDefault="006C0BE6" w:rsidP="006C0BE6"/>
          <w:p w14:paraId="37155EB1" w14:textId="77777777" w:rsidR="006C0BE6" w:rsidRPr="006C0BE6" w:rsidRDefault="006C0BE6" w:rsidP="006C0BE6">
            <w:pPr>
              <w:rPr>
                <w:b/>
              </w:rPr>
            </w:pPr>
          </w:p>
          <w:p w14:paraId="49DE6FA9" w14:textId="77777777" w:rsidR="006C0BE6" w:rsidRPr="006C0BE6" w:rsidRDefault="006C0BE6" w:rsidP="006C0BE6">
            <w:pPr>
              <w:rPr>
                <w:b/>
              </w:rPr>
            </w:pPr>
            <w:r w:rsidRPr="006C0BE6">
              <w:rPr>
                <w:b/>
              </w:rPr>
              <w:t>MEMORANDUM IN OPPOSITION OF DEFENDANTS’ MOTION TO DISMISS</w:t>
            </w:r>
          </w:p>
        </w:tc>
      </w:tr>
    </w:tbl>
    <w:p w14:paraId="2CEC5BF1" w14:textId="77777777" w:rsidR="006C0BE6" w:rsidRPr="006C0BE6" w:rsidRDefault="006C0BE6" w:rsidP="006C0BE6">
      <w:pPr>
        <w:rPr>
          <w:b/>
          <w:u w:val="single"/>
        </w:rPr>
      </w:pPr>
    </w:p>
    <w:p w14:paraId="028FFD8D" w14:textId="77777777" w:rsidR="006C0BE6" w:rsidRPr="006C0BE6" w:rsidRDefault="006C0BE6" w:rsidP="006C0BE6">
      <w:pPr>
        <w:jc w:val="center"/>
        <w:rPr>
          <w:b/>
          <w:u w:val="single"/>
        </w:rPr>
      </w:pPr>
      <w:r w:rsidRPr="006C0BE6">
        <w:rPr>
          <w:b/>
          <w:u w:val="single"/>
        </w:rPr>
        <w:t>INTRODUCTION</w:t>
      </w:r>
    </w:p>
    <w:p w14:paraId="68FECB42" w14:textId="77777777" w:rsidR="006C0BE6" w:rsidRPr="006C0BE6" w:rsidRDefault="006C0BE6" w:rsidP="006C0BE6"/>
    <w:p w14:paraId="11C8964C" w14:textId="77777777" w:rsidR="00873B48" w:rsidRDefault="00D85DF7" w:rsidP="00D85DF7">
      <w:pPr>
        <w:spacing w:line="480" w:lineRule="auto"/>
        <w:ind w:firstLine="720"/>
        <w:rPr>
          <w:b/>
          <w:u w:val="single"/>
        </w:rPr>
      </w:pPr>
      <w:r>
        <w:t>Plaintiff, OGS TV, Inc. (“OGS”)</w:t>
      </w:r>
      <w:r w:rsidR="002F76FA" w:rsidRPr="006C0BE6">
        <w:t xml:space="preserve"> submits this Memorandum in opposition to Defendants, Elizabeth Lime (“Lime”) and </w:t>
      </w:r>
      <w:proofErr w:type="spellStart"/>
      <w:r w:rsidR="002F76FA" w:rsidRPr="006C0BE6">
        <w:t>TinyTV</w:t>
      </w:r>
      <w:proofErr w:type="spellEnd"/>
      <w:r w:rsidR="002F76FA" w:rsidRPr="006C0BE6">
        <w:t>, Inc.’s (“</w:t>
      </w:r>
      <w:proofErr w:type="spellStart"/>
      <w:r w:rsidR="002F76FA" w:rsidRPr="006C0BE6">
        <w:t>TinyTV</w:t>
      </w:r>
      <w:proofErr w:type="spellEnd"/>
      <w:r w:rsidR="002F76FA" w:rsidRPr="006C0BE6">
        <w:t xml:space="preserve">”), motion to dismiss.  </w:t>
      </w:r>
      <w:r w:rsidR="002F76FA">
        <w:t>Plaintiff</w:t>
      </w:r>
      <w:r w:rsidR="00AF2A14">
        <w:t xml:space="preserve">, a television network, </w:t>
      </w:r>
      <w:r w:rsidR="002F76FA">
        <w:t>commissioned Defendant Lime</w:t>
      </w:r>
      <w:r w:rsidR="00AF2A14">
        <w:t>, a renowned screenplay writer,</w:t>
      </w:r>
      <w:r w:rsidR="002F76FA">
        <w:t xml:space="preserve"> to write a script as a work-made-for-hire through an oral agreement which was later reduced into writing.  </w:t>
      </w:r>
      <w:r>
        <w:t>After the script was completed</w:t>
      </w:r>
      <w:r w:rsidR="007B4C5D">
        <w:t xml:space="preserve">, submitted </w:t>
      </w:r>
      <w:r>
        <w:t>and paid for</w:t>
      </w:r>
      <w:r w:rsidR="007B4C5D">
        <w:t>,</w:t>
      </w:r>
      <w:r>
        <w:t xml:space="preserve"> </w:t>
      </w:r>
      <w:r w:rsidR="002F76FA">
        <w:t>Defendants subsequently violated Plaintiff’s copyrights</w:t>
      </w:r>
      <w:r>
        <w:t>.  Defendants</w:t>
      </w:r>
      <w:r w:rsidR="002F76FA">
        <w:t xml:space="preserve"> alleg</w:t>
      </w:r>
      <w:r>
        <w:t>e</w:t>
      </w:r>
      <w:r w:rsidR="002F76FA">
        <w:t xml:space="preserve"> that </w:t>
      </w:r>
      <w:r>
        <w:t>there exists</w:t>
      </w:r>
      <w:r w:rsidR="002F76FA">
        <w:t xml:space="preserve"> no work-made-for-hire because the signed writing did not precede the script.  The Defendants are wrong in their contention, </w:t>
      </w:r>
      <w:r w:rsidR="00AF2A14">
        <w:t>because under the work-made-for-hire provision of the Copyright Act of 1976, a signed writing does not have to precede the commissioned work to be a valid work-made-for-hire. T</w:t>
      </w:r>
      <w:r w:rsidR="006C0BE6" w:rsidRPr="006C0BE6">
        <w:t xml:space="preserve">hrough analysis of the plain meaning </w:t>
      </w:r>
      <w:r w:rsidR="00AF2A14">
        <w:t xml:space="preserve">and the legislative intent of the </w:t>
      </w:r>
      <w:r w:rsidR="00591AF8">
        <w:t xml:space="preserve">work-made-for-hire provision, </w:t>
      </w:r>
      <w:bookmarkStart w:id="1" w:name="CITRUS_BOOKMARK2"/>
      <w:r w:rsidR="0052289C">
        <w:t>17 U.S.C. § 101(2) (2006)</w:t>
      </w:r>
      <w:bookmarkEnd w:id="1"/>
      <w:r w:rsidR="006C0BE6" w:rsidRPr="006C0BE6">
        <w:t xml:space="preserve"> of the Copyright Act of 1976, it can be determined that a signed writing is not required </w:t>
      </w:r>
      <w:r w:rsidR="009021BC">
        <w:t xml:space="preserve">before the commencement </w:t>
      </w:r>
      <w:r w:rsidR="005524D1">
        <w:t xml:space="preserve">of </w:t>
      </w:r>
      <w:r w:rsidR="00591AF8">
        <w:t xml:space="preserve">a work </w:t>
      </w:r>
      <w:r w:rsidR="006C0BE6" w:rsidRPr="006C0BE6">
        <w:t xml:space="preserve">to initiate a valid </w:t>
      </w:r>
      <w:r w:rsidR="00591AF8">
        <w:t>work-made-for-hire</w:t>
      </w:r>
      <w:r w:rsidR="005524D1">
        <w:t>.</w:t>
      </w:r>
      <w:r w:rsidR="006C0BE6" w:rsidRPr="006C0BE6">
        <w:t xml:space="preserve"> </w:t>
      </w:r>
      <w:r w:rsidR="005524D1">
        <w:t>Thus</w:t>
      </w:r>
      <w:r w:rsidR="006C0BE6" w:rsidRPr="006C0BE6">
        <w:t xml:space="preserve"> </w:t>
      </w:r>
      <w:r w:rsidR="005524D1">
        <w:t xml:space="preserve">the Court should </w:t>
      </w:r>
      <w:r w:rsidR="003832FC">
        <w:t>determine that Plaintiff created a valid work-made-for-hire</w:t>
      </w:r>
      <w:r>
        <w:t>, and should deny Defendants’ motion to dismiss.</w:t>
      </w:r>
      <w:r w:rsidR="003832FC">
        <w:t xml:space="preserve"> </w:t>
      </w:r>
    </w:p>
    <w:p w14:paraId="573A9AA1" w14:textId="77777777" w:rsidR="0043400A" w:rsidRDefault="0043400A" w:rsidP="006C0BE6">
      <w:pPr>
        <w:jc w:val="center"/>
        <w:rPr>
          <w:b/>
          <w:u w:val="single"/>
        </w:rPr>
      </w:pPr>
    </w:p>
    <w:p w14:paraId="7E4AF517" w14:textId="77777777" w:rsidR="0043400A" w:rsidRDefault="0043400A" w:rsidP="006C0BE6">
      <w:pPr>
        <w:jc w:val="center"/>
        <w:rPr>
          <w:b/>
          <w:u w:val="single"/>
        </w:rPr>
      </w:pPr>
    </w:p>
    <w:p w14:paraId="1CA9750F" w14:textId="77777777" w:rsidR="006C0BE6" w:rsidRPr="006C0BE6" w:rsidRDefault="006C0BE6" w:rsidP="006C0BE6">
      <w:pPr>
        <w:jc w:val="center"/>
        <w:rPr>
          <w:b/>
          <w:u w:val="single"/>
        </w:rPr>
      </w:pPr>
      <w:r w:rsidRPr="006C0BE6">
        <w:rPr>
          <w:b/>
          <w:u w:val="single"/>
        </w:rPr>
        <w:lastRenderedPageBreak/>
        <w:t>FACTUAL BACKGROUND</w:t>
      </w:r>
    </w:p>
    <w:p w14:paraId="2BFC841C" w14:textId="77777777" w:rsidR="00CB7452" w:rsidRDefault="00CB7452" w:rsidP="006C0BE6"/>
    <w:p w14:paraId="116500D7" w14:textId="77777777" w:rsidR="006C0BE6" w:rsidRPr="006C0BE6" w:rsidRDefault="006C0BE6" w:rsidP="00CB7452">
      <w:pPr>
        <w:spacing w:line="480" w:lineRule="auto"/>
        <w:ind w:firstLine="720"/>
      </w:pPr>
      <w:r w:rsidRPr="006C0BE6">
        <w:t>Plaintiff, OGS, is a television network in the State of Moot. (</w:t>
      </w:r>
      <w:proofErr w:type="spellStart"/>
      <w:r w:rsidRPr="006C0BE6">
        <w:t>Compl</w:t>
      </w:r>
      <w:proofErr w:type="spellEnd"/>
      <w:r w:rsidRPr="006C0BE6">
        <w:t>. ¶ 2</w:t>
      </w:r>
      <w:r w:rsidR="0002777C">
        <w:t>.</w:t>
      </w:r>
      <w:r w:rsidRPr="006C0BE6">
        <w:t xml:space="preserve">) Plaintiff is the owner, creator and producer of the original “romantic </w:t>
      </w:r>
      <w:proofErr w:type="spellStart"/>
      <w:r w:rsidRPr="006C0BE6">
        <w:t>dramedy</w:t>
      </w:r>
      <w:proofErr w:type="spellEnd"/>
      <w:r w:rsidRPr="006C0BE6">
        <w:t xml:space="preserve">” </w:t>
      </w:r>
      <w:r w:rsidRPr="006C0BE6">
        <w:rPr>
          <w:i/>
        </w:rPr>
        <w:t>Lawless Love</w:t>
      </w:r>
      <w:r w:rsidRPr="006C0BE6">
        <w:t>, which it aired on its network. (</w:t>
      </w:r>
      <w:bookmarkStart w:id="2" w:name="Psych_Cite_185"/>
      <w:bookmarkStart w:id="3" w:name="Ignore_This_185"/>
      <w:r w:rsidRPr="006C0BE6">
        <w:rPr>
          <w:i/>
        </w:rPr>
        <w:t>Id</w:t>
      </w:r>
      <w:r w:rsidRPr="006C0BE6">
        <w:t>. ¶ 5</w:t>
      </w:r>
      <w:bookmarkEnd w:id="2"/>
      <w:bookmarkEnd w:id="3"/>
      <w:r w:rsidR="0002777C">
        <w:t>.</w:t>
      </w:r>
      <w:r w:rsidRPr="006C0BE6">
        <w:t xml:space="preserve">) Under the federal Copyright Act of 1976, Plaintiff is the author and owner of every episode of </w:t>
      </w:r>
      <w:r w:rsidRPr="006C0BE6">
        <w:rPr>
          <w:i/>
        </w:rPr>
        <w:t>Lawless Love</w:t>
      </w:r>
      <w:r w:rsidRPr="006C0BE6">
        <w:t>. (</w:t>
      </w:r>
      <w:bookmarkStart w:id="4" w:name="Psych_Cite_186"/>
      <w:bookmarkStart w:id="5" w:name="Ignore_This_186"/>
      <w:r w:rsidRPr="006C0BE6">
        <w:rPr>
          <w:i/>
        </w:rPr>
        <w:t>Id</w:t>
      </w:r>
      <w:r w:rsidRPr="006C0BE6">
        <w:t>. ¶¶ 8, 23</w:t>
      </w:r>
      <w:bookmarkEnd w:id="4"/>
      <w:bookmarkEnd w:id="5"/>
      <w:r w:rsidR="0002777C">
        <w:t>.)</w:t>
      </w:r>
      <w:r w:rsidRPr="006C0BE6">
        <w:t xml:space="preserve"> </w:t>
      </w:r>
    </w:p>
    <w:p w14:paraId="6ADDE356" w14:textId="77777777" w:rsidR="006C0BE6" w:rsidRPr="006C0BE6" w:rsidRDefault="006C0BE6" w:rsidP="00CB7452">
      <w:pPr>
        <w:spacing w:line="480" w:lineRule="auto"/>
        <w:ind w:firstLine="720"/>
      </w:pPr>
      <w:r w:rsidRPr="006C0BE6">
        <w:t>Defendant Lime is a renowned television writer. (</w:t>
      </w:r>
      <w:bookmarkStart w:id="6" w:name="Psych_Cite_189"/>
      <w:bookmarkStart w:id="7" w:name="Ignore_This_189"/>
      <w:r w:rsidRPr="006C0BE6">
        <w:rPr>
          <w:i/>
        </w:rPr>
        <w:t>Id</w:t>
      </w:r>
      <w:r w:rsidRPr="006C0BE6">
        <w:t>. ¶¶ 11, 20</w:t>
      </w:r>
      <w:bookmarkEnd w:id="6"/>
      <w:bookmarkEnd w:id="7"/>
      <w:r w:rsidR="0002777C">
        <w:t>.</w:t>
      </w:r>
      <w:r w:rsidRPr="006C0BE6">
        <w:t xml:space="preserve">) Defendant </w:t>
      </w:r>
      <w:proofErr w:type="spellStart"/>
      <w:proofErr w:type="gramStart"/>
      <w:r w:rsidRPr="006C0BE6">
        <w:t>TinyTV</w:t>
      </w:r>
      <w:proofErr w:type="spellEnd"/>
      <w:r w:rsidRPr="006C0BE6">
        <w:t>,</w:t>
      </w:r>
      <w:proofErr w:type="gramEnd"/>
      <w:r w:rsidRPr="006C0BE6">
        <w:t xml:space="preserve"> is a cable broadcast company incorporated in the State of Moot. (</w:t>
      </w:r>
      <w:bookmarkStart w:id="8" w:name="Psych_Cite_190"/>
      <w:bookmarkStart w:id="9" w:name="Ignore_This_190"/>
      <w:r w:rsidRPr="006C0BE6">
        <w:rPr>
          <w:i/>
        </w:rPr>
        <w:t>Id</w:t>
      </w:r>
      <w:r w:rsidRPr="006C0BE6">
        <w:t>. ¶¶ 4, 29</w:t>
      </w:r>
      <w:bookmarkEnd w:id="8"/>
      <w:bookmarkEnd w:id="9"/>
      <w:r w:rsidR="0002777C">
        <w:t>.</w:t>
      </w:r>
      <w:r w:rsidRPr="006C0BE6">
        <w:t xml:space="preserve">)  </w:t>
      </w:r>
    </w:p>
    <w:p w14:paraId="5D675306" w14:textId="77777777" w:rsidR="006C0BE6" w:rsidRPr="006C0BE6" w:rsidRDefault="006C0BE6" w:rsidP="00CB7452">
      <w:pPr>
        <w:spacing w:line="480" w:lineRule="auto"/>
        <w:ind w:firstLine="720"/>
      </w:pPr>
      <w:r w:rsidRPr="006C0BE6">
        <w:t xml:space="preserve">On March 27, 2010, Plaintiff contacted Defendant Lime to write a screenplay for one episode of </w:t>
      </w:r>
      <w:r w:rsidRPr="006C0BE6">
        <w:rPr>
          <w:i/>
        </w:rPr>
        <w:t>Lawless Love. (</w:t>
      </w:r>
      <w:bookmarkStart w:id="10" w:name="Psych_Cite_192"/>
      <w:bookmarkStart w:id="11" w:name="Ignore_This_192"/>
      <w:r w:rsidRPr="006C0BE6">
        <w:rPr>
          <w:i/>
        </w:rPr>
        <w:t>Id</w:t>
      </w:r>
      <w:r w:rsidRPr="006C0BE6">
        <w:t>. ¶¶ 9, 10</w:t>
      </w:r>
      <w:bookmarkEnd w:id="10"/>
      <w:bookmarkEnd w:id="11"/>
      <w:r w:rsidR="0002777C">
        <w:t>.</w:t>
      </w:r>
      <w:r w:rsidRPr="006C0BE6">
        <w:t xml:space="preserve">)  On March 27, 2010, Plaintiff met with Defendant Lime during which time Defendant Lime agreed to write a screenplay for </w:t>
      </w:r>
      <w:r w:rsidRPr="006C0BE6">
        <w:rPr>
          <w:i/>
        </w:rPr>
        <w:t>Lawless Love</w:t>
      </w:r>
      <w:r w:rsidRPr="006C0BE6">
        <w:t xml:space="preserve">, as a </w:t>
      </w:r>
      <w:r w:rsidR="005524D1">
        <w:t xml:space="preserve">work-made-for-hire </w:t>
      </w:r>
      <w:r w:rsidRPr="006C0BE6">
        <w:t>in exchange for $6,000. (</w:t>
      </w:r>
      <w:bookmarkStart w:id="12" w:name="Psych_Cite_193"/>
      <w:bookmarkStart w:id="13" w:name="Ignore_This_193"/>
      <w:r w:rsidRPr="006C0BE6">
        <w:rPr>
          <w:i/>
        </w:rPr>
        <w:t>Id</w:t>
      </w:r>
      <w:r w:rsidRPr="006C0BE6">
        <w:t>. ¶¶ 12</w:t>
      </w:r>
      <w:r w:rsidR="005524D1">
        <w:t>-</w:t>
      </w:r>
      <w:r w:rsidRPr="006C0BE6">
        <w:t>17</w:t>
      </w:r>
      <w:bookmarkEnd w:id="12"/>
      <w:bookmarkEnd w:id="13"/>
      <w:r w:rsidR="0002777C">
        <w:t>.</w:t>
      </w:r>
      <w:r w:rsidRPr="006C0BE6">
        <w:t xml:space="preserve">) </w:t>
      </w:r>
      <w:r w:rsidR="005524D1">
        <w:t>When asked if she understood that Plaintiff would be the owner of the script, Defendant Lime answered, “Yes.” (</w:t>
      </w:r>
      <w:bookmarkStart w:id="14" w:name="Psych_Cite_194"/>
      <w:bookmarkStart w:id="15" w:name="Ignore_This_194"/>
      <w:r w:rsidR="008F2497" w:rsidRPr="006C0BE6">
        <w:rPr>
          <w:i/>
        </w:rPr>
        <w:t>Id</w:t>
      </w:r>
      <w:r w:rsidR="008F2497">
        <w:t xml:space="preserve">. ¶¶ </w:t>
      </w:r>
      <w:r w:rsidR="005B47AC">
        <w:t xml:space="preserve">16, </w:t>
      </w:r>
      <w:r w:rsidR="008F2497" w:rsidRPr="006C0BE6">
        <w:t>17</w:t>
      </w:r>
      <w:bookmarkEnd w:id="14"/>
      <w:bookmarkEnd w:id="15"/>
      <w:r w:rsidR="0002777C">
        <w:t>.</w:t>
      </w:r>
      <w:r w:rsidR="005524D1">
        <w:t xml:space="preserve">) </w:t>
      </w:r>
      <w:r w:rsidRPr="006C0BE6">
        <w:t xml:space="preserve">Per the agreement, </w:t>
      </w:r>
      <w:r w:rsidR="005524D1">
        <w:t>Plaintiff be</w:t>
      </w:r>
      <w:r w:rsidRPr="006C0BE6">
        <w:t xml:space="preserve">came the sole owner of Defendant Lime’s screenplay. </w:t>
      </w:r>
      <w:r w:rsidR="00C13561">
        <w:t>(</w:t>
      </w:r>
      <w:bookmarkStart w:id="16" w:name="Psych_Cite_195"/>
      <w:bookmarkStart w:id="17" w:name="Ignore_This_195"/>
      <w:r w:rsidR="005B47AC">
        <w:rPr>
          <w:i/>
        </w:rPr>
        <w:t>Id</w:t>
      </w:r>
      <w:r w:rsidR="005B47AC" w:rsidRPr="006C0BE6">
        <w:t>.¶ 20</w:t>
      </w:r>
      <w:bookmarkEnd w:id="16"/>
      <w:bookmarkEnd w:id="17"/>
      <w:r w:rsidR="0002777C">
        <w:t>.</w:t>
      </w:r>
      <w:r w:rsidR="00C13561">
        <w:t xml:space="preserve">) </w:t>
      </w:r>
      <w:r w:rsidRPr="006C0BE6">
        <w:t xml:space="preserve">At the close of the meeting, Plaintiff told Defendant Lime that she could return to sign the paperwork later, as they both wanted to </w:t>
      </w:r>
      <w:r w:rsidR="005B47AC">
        <w:t>“get to work right away.” (</w:t>
      </w:r>
      <w:bookmarkStart w:id="18" w:name="Psych_Cite_196"/>
      <w:bookmarkStart w:id="19" w:name="Ignore_This_196"/>
      <w:r w:rsidR="005B47AC">
        <w:rPr>
          <w:i/>
        </w:rPr>
        <w:t>Id</w:t>
      </w:r>
      <w:r w:rsidRPr="006C0BE6">
        <w:t>.¶ 20</w:t>
      </w:r>
      <w:bookmarkEnd w:id="18"/>
      <w:bookmarkEnd w:id="19"/>
      <w:r w:rsidR="0002777C">
        <w:t>.</w:t>
      </w:r>
      <w:r w:rsidRPr="006C0BE6">
        <w:t>)</w:t>
      </w:r>
      <w:r w:rsidR="005524D1">
        <w:t xml:space="preserve"> </w:t>
      </w:r>
      <w:r w:rsidR="005524D1" w:rsidRPr="006C0BE6">
        <w:t>Prior to March 27, 2010, Defendant Lime had never written for Plaintiff. (</w:t>
      </w:r>
      <w:bookmarkStart w:id="20" w:name="Psych_Cite_197"/>
      <w:bookmarkStart w:id="21" w:name="Ignore_This_197"/>
      <w:r w:rsidR="005524D1" w:rsidRPr="006C0BE6">
        <w:rPr>
          <w:i/>
        </w:rPr>
        <w:t>Id</w:t>
      </w:r>
      <w:r w:rsidR="005524D1" w:rsidRPr="006C0BE6">
        <w:t>. ¶11</w:t>
      </w:r>
      <w:bookmarkEnd w:id="20"/>
      <w:bookmarkEnd w:id="21"/>
      <w:r w:rsidR="0002777C">
        <w:t>.</w:t>
      </w:r>
      <w:r w:rsidR="005524D1" w:rsidRPr="006C0BE6">
        <w:t>)</w:t>
      </w:r>
    </w:p>
    <w:p w14:paraId="5FE905E3" w14:textId="77777777" w:rsidR="00C13561" w:rsidRDefault="006C0BE6" w:rsidP="00CB7452">
      <w:pPr>
        <w:spacing w:line="480" w:lineRule="auto"/>
        <w:ind w:firstLine="720"/>
      </w:pPr>
      <w:r w:rsidRPr="006C0BE6">
        <w:t>On April 1, 2010, Defendant Lime submitted the screenplay titled, “Anticipatory Repudiation” to Plaintiff. (</w:t>
      </w:r>
      <w:bookmarkStart w:id="22" w:name="Psych_Cite_200"/>
      <w:bookmarkStart w:id="23" w:name="Ignore_This_200"/>
      <w:r w:rsidRPr="006C0BE6">
        <w:rPr>
          <w:i/>
        </w:rPr>
        <w:t>Id</w:t>
      </w:r>
      <w:r w:rsidRPr="006C0BE6">
        <w:t>. ¶ 21</w:t>
      </w:r>
      <w:bookmarkEnd w:id="22"/>
      <w:bookmarkEnd w:id="23"/>
      <w:r w:rsidR="0002777C">
        <w:t>.</w:t>
      </w:r>
      <w:r w:rsidRPr="006C0BE6">
        <w:t>) On April 2, 2010, Plaintiff submitted and received a certificate of registration from the Register of Copyrights dated April 2, 2010, securing “the exclusive rights and privileges in and to the television screenplay.” (</w:t>
      </w:r>
      <w:bookmarkStart w:id="24" w:name="Psych_Cite_201"/>
      <w:bookmarkStart w:id="25" w:name="Ignore_This_201"/>
      <w:r w:rsidRPr="006C0BE6">
        <w:rPr>
          <w:i/>
        </w:rPr>
        <w:t>Id</w:t>
      </w:r>
      <w:r w:rsidRPr="006C0BE6">
        <w:t>. ¶ 22</w:t>
      </w:r>
      <w:bookmarkEnd w:id="24"/>
      <w:bookmarkEnd w:id="25"/>
      <w:r w:rsidR="0002777C">
        <w:t>.</w:t>
      </w:r>
      <w:r w:rsidRPr="006C0BE6">
        <w:t xml:space="preserve">) </w:t>
      </w:r>
      <w:r w:rsidR="00F656BE">
        <w:t>O</w:t>
      </w:r>
      <w:r w:rsidRPr="006C0BE6">
        <w:t xml:space="preserve">n April 6, 2010, </w:t>
      </w:r>
      <w:r w:rsidR="00F656BE">
        <w:t xml:space="preserve">when Defendant Lime picked up her check for $6,000, both </w:t>
      </w:r>
      <w:r w:rsidRPr="006C0BE6">
        <w:t>Plaintiff and Defendant Lime signed the prepared “Work-Made-For-Hire Agreement”. (</w:t>
      </w:r>
      <w:bookmarkStart w:id="26" w:name="Psych_Cite_202"/>
      <w:bookmarkStart w:id="27" w:name="Ignore_This_202"/>
      <w:r w:rsidRPr="006C0BE6">
        <w:rPr>
          <w:i/>
        </w:rPr>
        <w:t>Id</w:t>
      </w:r>
      <w:r w:rsidRPr="006C0BE6">
        <w:t>. ¶¶ 24, 25</w:t>
      </w:r>
      <w:bookmarkEnd w:id="26"/>
      <w:bookmarkEnd w:id="27"/>
      <w:r w:rsidR="0002777C">
        <w:t>.</w:t>
      </w:r>
      <w:r w:rsidRPr="006C0BE6">
        <w:t xml:space="preserve">)  </w:t>
      </w:r>
    </w:p>
    <w:p w14:paraId="0993C736" w14:textId="77777777" w:rsidR="006C0BE6" w:rsidRPr="006C0BE6" w:rsidRDefault="006C0BE6" w:rsidP="00CB7452">
      <w:pPr>
        <w:spacing w:line="480" w:lineRule="auto"/>
        <w:ind w:firstLine="720"/>
      </w:pPr>
      <w:r w:rsidRPr="006C0BE6">
        <w:lastRenderedPageBreak/>
        <w:t xml:space="preserve">In early August, 2010, Defendant Lime, in conjunction with Defendant </w:t>
      </w:r>
      <w:proofErr w:type="spellStart"/>
      <w:r w:rsidRPr="006C0BE6">
        <w:t>TinyTV</w:t>
      </w:r>
      <w:proofErr w:type="spellEnd"/>
      <w:r w:rsidRPr="006C0BE6">
        <w:t xml:space="preserve">, created a new television series entitled </w:t>
      </w:r>
      <w:r w:rsidRPr="006C0BE6">
        <w:rPr>
          <w:i/>
        </w:rPr>
        <w:t>The Tin Can</w:t>
      </w:r>
      <w:r w:rsidRPr="006C0BE6">
        <w:t>. (</w:t>
      </w:r>
      <w:bookmarkStart w:id="28" w:name="Psych_Cite_206"/>
      <w:bookmarkStart w:id="29" w:name="Ignore_This_206"/>
      <w:r w:rsidRPr="006C0BE6">
        <w:rPr>
          <w:i/>
        </w:rPr>
        <w:t>Id</w:t>
      </w:r>
      <w:r w:rsidRPr="006C0BE6">
        <w:t>. ¶ 27</w:t>
      </w:r>
      <w:bookmarkEnd w:id="28"/>
      <w:bookmarkEnd w:id="29"/>
      <w:r w:rsidR="0002777C">
        <w:t>.</w:t>
      </w:r>
      <w:r w:rsidRPr="006C0BE6">
        <w:t xml:space="preserve">)  In September, 2010, Defendants produced, performed and subsequently broadcast the pilot of </w:t>
      </w:r>
      <w:r w:rsidRPr="006C0BE6">
        <w:rPr>
          <w:i/>
        </w:rPr>
        <w:t>The Tin Can</w:t>
      </w:r>
      <w:r w:rsidRPr="006C0BE6">
        <w:t>. (</w:t>
      </w:r>
      <w:bookmarkStart w:id="30" w:name="Psych_Cite_207"/>
      <w:bookmarkStart w:id="31" w:name="Ignore_This_207"/>
      <w:r w:rsidRPr="006C0BE6">
        <w:rPr>
          <w:i/>
        </w:rPr>
        <w:t>Id</w:t>
      </w:r>
      <w:r w:rsidRPr="006C0BE6">
        <w:t>. ¶¶ 28, 29</w:t>
      </w:r>
      <w:bookmarkEnd w:id="30"/>
      <w:bookmarkEnd w:id="31"/>
      <w:r w:rsidR="0002777C">
        <w:t>.</w:t>
      </w:r>
      <w:r w:rsidRPr="006C0BE6">
        <w:t xml:space="preserve">) The pilot, which aired on Defendant </w:t>
      </w:r>
      <w:proofErr w:type="spellStart"/>
      <w:r w:rsidRPr="006C0BE6">
        <w:t>TinyTV’s</w:t>
      </w:r>
      <w:proofErr w:type="spellEnd"/>
      <w:r w:rsidRPr="006C0BE6">
        <w:t xml:space="preserve"> cable television channel, contained dialogue, characters, and storylines identical to those in the screenplay “Anticipatory Repudiation.” (</w:t>
      </w:r>
      <w:bookmarkStart w:id="32" w:name="Psych_Cite_208"/>
      <w:bookmarkStart w:id="33" w:name="Ignore_This_208"/>
      <w:r w:rsidRPr="006C0BE6">
        <w:rPr>
          <w:i/>
        </w:rPr>
        <w:t>Id</w:t>
      </w:r>
      <w:r w:rsidRPr="006C0BE6">
        <w:t>. ¶¶ 28, 29, 31</w:t>
      </w:r>
      <w:bookmarkEnd w:id="32"/>
      <w:bookmarkEnd w:id="33"/>
      <w:r w:rsidR="0002777C">
        <w:t>.</w:t>
      </w:r>
      <w:r w:rsidRPr="006C0BE6">
        <w:t>) “Only the setting, premise of the show, and the names and occupations of the characters [were] different.” (</w:t>
      </w:r>
      <w:bookmarkStart w:id="34" w:name="Psych_Cite_209"/>
      <w:bookmarkStart w:id="35" w:name="Ignore_This_209"/>
      <w:r w:rsidRPr="006C0BE6">
        <w:rPr>
          <w:i/>
        </w:rPr>
        <w:t>Id</w:t>
      </w:r>
      <w:r w:rsidRPr="006C0BE6">
        <w:t>. ¶ 31</w:t>
      </w:r>
      <w:bookmarkEnd w:id="34"/>
      <w:bookmarkEnd w:id="35"/>
      <w:r w:rsidR="0002777C">
        <w:t>.</w:t>
      </w:r>
      <w:r w:rsidRPr="006C0BE6">
        <w:t>)</w:t>
      </w:r>
    </w:p>
    <w:p w14:paraId="054E0BC2" w14:textId="77777777" w:rsidR="006C0BE6" w:rsidRPr="006C0BE6" w:rsidRDefault="006C0BE6" w:rsidP="00CB7452">
      <w:pPr>
        <w:spacing w:line="480" w:lineRule="auto"/>
        <w:ind w:firstLine="720"/>
      </w:pPr>
      <w:r w:rsidRPr="006C0BE6">
        <w:t>This copyrighted material, property of Plaintiff, was copied and aired without Plaintiff’s knowledge or consent, resulting in $86,000 of damages. (</w:t>
      </w:r>
      <w:bookmarkStart w:id="36" w:name="Psych_Cite_213"/>
      <w:bookmarkStart w:id="37" w:name="Ignore_This_213"/>
      <w:r w:rsidRPr="006C0BE6">
        <w:rPr>
          <w:i/>
        </w:rPr>
        <w:t>Id</w:t>
      </w:r>
      <w:r w:rsidRPr="006C0BE6">
        <w:t>. ¶ 28, 30</w:t>
      </w:r>
      <w:bookmarkEnd w:id="36"/>
      <w:bookmarkEnd w:id="37"/>
      <w:r w:rsidR="0002777C">
        <w:t>.</w:t>
      </w:r>
      <w:r w:rsidRPr="006C0BE6">
        <w:t>) Defendants deny infringing on Plaintiff’s copyrights alleging that “Plaintiff owns no relevant copyright.” (Answer ¶ 6</w:t>
      </w:r>
      <w:r w:rsidR="0002777C">
        <w:t>.</w:t>
      </w:r>
      <w:r w:rsidRPr="006C0BE6">
        <w:t xml:space="preserve">)  </w:t>
      </w:r>
      <w:r w:rsidRPr="00FC14C0">
        <w:t xml:space="preserve">Defendants do not deny that the work was commissioned by Plaintiff, that there was an oral agreement prior to the creation of the work, and that there existed a written memorial signed by both parties.  </w:t>
      </w:r>
      <w:r w:rsidR="00F156E7" w:rsidRPr="00FC14C0">
        <w:t>(</w:t>
      </w:r>
      <w:bookmarkStart w:id="38" w:name="Psych_Cite_214"/>
      <w:bookmarkStart w:id="39" w:name="Ignore_This_214"/>
      <w:r w:rsidR="00F156E7" w:rsidRPr="00FC14C0">
        <w:rPr>
          <w:i/>
        </w:rPr>
        <w:t>Id</w:t>
      </w:r>
      <w:r w:rsidR="00F156E7" w:rsidRPr="00FC14C0">
        <w:t>. ¶ 0</w:t>
      </w:r>
      <w:bookmarkEnd w:id="38"/>
      <w:bookmarkEnd w:id="39"/>
      <w:r w:rsidR="0002777C" w:rsidRPr="00FC14C0">
        <w:t>.</w:t>
      </w:r>
      <w:r w:rsidR="00F156E7" w:rsidRPr="00FC14C0">
        <w:t xml:space="preserve">) </w:t>
      </w:r>
      <w:r w:rsidRPr="00FC14C0">
        <w:t>Defendants merely assert that there is no relevant copyright</w:t>
      </w:r>
      <w:r w:rsidR="00DE6E2C" w:rsidRPr="00FC14C0">
        <w:t xml:space="preserve"> because there exists no valid writing</w:t>
      </w:r>
      <w:r w:rsidRPr="00FC14C0">
        <w:t>.</w:t>
      </w:r>
      <w:r w:rsidRPr="006C0BE6">
        <w:t xml:space="preserve"> </w:t>
      </w:r>
      <w:r w:rsidR="00D27807">
        <w:t>(</w:t>
      </w:r>
      <w:bookmarkStart w:id="40" w:name="Psych_Cite_215"/>
      <w:bookmarkStart w:id="41" w:name="Ignore_This_215"/>
      <w:r w:rsidR="005B47AC">
        <w:rPr>
          <w:i/>
        </w:rPr>
        <w:t>Id</w:t>
      </w:r>
      <w:r w:rsidR="005B47AC">
        <w:t xml:space="preserve">. ¶ </w:t>
      </w:r>
      <w:r w:rsidR="00F156E7">
        <w:t>3</w:t>
      </w:r>
      <w:bookmarkEnd w:id="40"/>
      <w:bookmarkEnd w:id="41"/>
      <w:r w:rsidR="0002777C">
        <w:t>.</w:t>
      </w:r>
      <w:r w:rsidR="00D27807">
        <w:t>)</w:t>
      </w:r>
      <w:r w:rsidRPr="006C0BE6">
        <w:t xml:space="preserve"> Subsequently, on January 17, 2012, Plaintiff filed suit for injunctive relief and to recover damages incurred from the Defendants. (</w:t>
      </w:r>
      <w:proofErr w:type="spellStart"/>
      <w:r w:rsidRPr="006C0BE6">
        <w:t>Compl</w:t>
      </w:r>
      <w:proofErr w:type="spellEnd"/>
      <w:r w:rsidRPr="006C0BE6">
        <w:t>. ¶¶ 34, 35</w:t>
      </w:r>
      <w:r w:rsidR="0002777C">
        <w:t>.)</w:t>
      </w:r>
      <w:r w:rsidRPr="006C0BE6">
        <w:t xml:space="preserve">  </w:t>
      </w:r>
    </w:p>
    <w:p w14:paraId="1E25BA3D" w14:textId="77777777" w:rsidR="006C0BE6" w:rsidRPr="006C0BE6" w:rsidRDefault="006C0BE6" w:rsidP="00DE6E2C">
      <w:pPr>
        <w:jc w:val="center"/>
        <w:rPr>
          <w:b/>
          <w:u w:val="single"/>
        </w:rPr>
      </w:pPr>
      <w:r w:rsidRPr="006C0BE6">
        <w:rPr>
          <w:b/>
          <w:u w:val="single"/>
        </w:rPr>
        <w:t>STANDARD OF REVEIW</w:t>
      </w:r>
    </w:p>
    <w:p w14:paraId="286688CF" w14:textId="77777777" w:rsidR="004208B8" w:rsidRDefault="004208B8" w:rsidP="006C0BE6"/>
    <w:p w14:paraId="009B2E17" w14:textId="77777777" w:rsidR="006C0BE6" w:rsidRPr="006C0BE6" w:rsidRDefault="006C0BE6" w:rsidP="001E77A4">
      <w:pPr>
        <w:spacing w:line="480" w:lineRule="auto"/>
        <w:ind w:firstLine="720"/>
      </w:pPr>
      <w:r w:rsidRPr="006C0BE6">
        <w:t>When ruling on a motion to dismiss under rule 12(b)(6) of the Federal Rules of Civil Procedure, the Court must accept all of the complaint’s factual allegations as true</w:t>
      </w:r>
      <w:r w:rsidRPr="00A418B5">
        <w:t xml:space="preserve">. </w:t>
      </w:r>
      <w:bookmarkStart w:id="42" w:name="Psych_Cite_153"/>
      <w:bookmarkStart w:id="43" w:name="Ignore_This_153"/>
      <w:proofErr w:type="gramStart"/>
      <w:r w:rsidRPr="00A418B5">
        <w:rPr>
          <w:i/>
        </w:rPr>
        <w:t xml:space="preserve">Ashcroft v. </w:t>
      </w:r>
      <w:proofErr w:type="spellStart"/>
      <w:r w:rsidRPr="00A418B5">
        <w:rPr>
          <w:i/>
        </w:rPr>
        <w:t>Iqbal</w:t>
      </w:r>
      <w:proofErr w:type="spellEnd"/>
      <w:r w:rsidRPr="00A418B5">
        <w:t>, 129 S. Ct. 1937, 1949 (2009)</w:t>
      </w:r>
      <w:bookmarkEnd w:id="42"/>
      <w:bookmarkEnd w:id="43"/>
      <w:r w:rsidRPr="00A418B5">
        <w:t>.</w:t>
      </w:r>
      <w:proofErr w:type="gramEnd"/>
      <w:r w:rsidRPr="006C0BE6">
        <w:t xml:space="preserve"> If the complaint sufficiently states a plausible claim upon which relief may be granted, the motion to dismiss must be denied.  </w:t>
      </w:r>
      <w:bookmarkStart w:id="44" w:name="Psych_Cite_154"/>
      <w:bookmarkStart w:id="45" w:name="Ignore_This_154"/>
      <w:r w:rsidR="001E77A4" w:rsidRPr="001E77A4">
        <w:rPr>
          <w:i/>
        </w:rPr>
        <w:t xml:space="preserve">Bell Atl. Corp. v. </w:t>
      </w:r>
      <w:proofErr w:type="spellStart"/>
      <w:r w:rsidR="001E77A4" w:rsidRPr="001E77A4">
        <w:rPr>
          <w:i/>
        </w:rPr>
        <w:t>Twombly</w:t>
      </w:r>
      <w:proofErr w:type="spellEnd"/>
      <w:r w:rsidR="001E77A4" w:rsidRPr="001E77A4">
        <w:t>, 550 U.S. 544, 555 (2007)</w:t>
      </w:r>
      <w:bookmarkEnd w:id="44"/>
      <w:bookmarkEnd w:id="45"/>
      <w:r w:rsidR="001E77A4">
        <w:t xml:space="preserve">. </w:t>
      </w:r>
      <w:r w:rsidRPr="006C0BE6">
        <w:t xml:space="preserve">By establishing the existence of a valid work-for-hire agreement, Plaintiff demonstrates that it is entitled to relief.  Thus the Defendants’ </w:t>
      </w:r>
      <w:r w:rsidR="00161473">
        <w:t>motion to d</w:t>
      </w:r>
      <w:r w:rsidRPr="006C0BE6">
        <w:t xml:space="preserve">ismiss must be denied.  </w:t>
      </w:r>
    </w:p>
    <w:p w14:paraId="5C43E75E" w14:textId="77777777" w:rsidR="006C0BE6" w:rsidRPr="006C0BE6" w:rsidRDefault="006C0BE6" w:rsidP="004208B8">
      <w:pPr>
        <w:jc w:val="center"/>
        <w:rPr>
          <w:b/>
          <w:u w:val="single"/>
        </w:rPr>
      </w:pPr>
      <w:r w:rsidRPr="006C0BE6">
        <w:rPr>
          <w:b/>
          <w:u w:val="single"/>
        </w:rPr>
        <w:lastRenderedPageBreak/>
        <w:t>ARGUMENT</w:t>
      </w:r>
    </w:p>
    <w:p w14:paraId="340FF823" w14:textId="77777777" w:rsidR="00F61AF8" w:rsidRDefault="00F61AF8" w:rsidP="00F61AF8">
      <w:pPr>
        <w:rPr>
          <w:b/>
          <w:u w:val="single"/>
        </w:rPr>
      </w:pPr>
    </w:p>
    <w:p w14:paraId="63AF26BD" w14:textId="77777777" w:rsidR="006C0BE6" w:rsidRPr="001450FA" w:rsidRDefault="001450FA" w:rsidP="00F61AF8">
      <w:r>
        <w:rPr>
          <w:b/>
        </w:rPr>
        <w:t>THE WORK-MADE-FOR-HIRE PROVISION OF THE COPYRIGHT ACT OF 1976 DOES NOT REQUIRE</w:t>
      </w:r>
      <w:r w:rsidR="00411009">
        <w:rPr>
          <w:b/>
        </w:rPr>
        <w:t xml:space="preserve"> THE SIGNED WRITING TO BE EXECUT</w:t>
      </w:r>
      <w:r>
        <w:rPr>
          <w:b/>
        </w:rPr>
        <w:t xml:space="preserve">ED PRIOR TO THE COMMENCEMENT OF THE WORK TO BE CONSIDERED VALID </w:t>
      </w:r>
    </w:p>
    <w:p w14:paraId="516DFA33" w14:textId="77777777" w:rsidR="006C0BE6" w:rsidRPr="006C0BE6" w:rsidRDefault="006C0BE6" w:rsidP="006C0BE6"/>
    <w:p w14:paraId="032452B1" w14:textId="77777777" w:rsidR="006C0BE6" w:rsidRPr="006C0BE6" w:rsidRDefault="006C0BE6" w:rsidP="004208B8">
      <w:pPr>
        <w:spacing w:line="480" w:lineRule="auto"/>
        <w:ind w:firstLine="720"/>
      </w:pPr>
      <w:r w:rsidRPr="006C0BE6">
        <w:t xml:space="preserve">In the </w:t>
      </w:r>
      <w:r w:rsidR="00846833">
        <w:t>case before the Court</w:t>
      </w:r>
      <w:r w:rsidRPr="006C0BE6">
        <w:t xml:space="preserve">, it is being contested whether the script commissioned by Plaintiff constitutes a valid work-made-for-hire.  According to </w:t>
      </w:r>
      <w:r w:rsidR="000D76F0">
        <w:t xml:space="preserve">work-made-for-hire provision </w:t>
      </w:r>
      <w:r w:rsidRPr="006C0BE6">
        <w:t>of the Copyright Act</w:t>
      </w:r>
      <w:r w:rsidR="000D76F0">
        <w:t xml:space="preserve"> (</w:t>
      </w:r>
      <w:bookmarkStart w:id="46" w:name="Psych_Cite_220"/>
      <w:bookmarkStart w:id="47" w:name="Ignore_This_220"/>
      <w:r w:rsidR="000D76F0">
        <w:t>17 U.S.C. § 101</w:t>
      </w:r>
      <w:bookmarkEnd w:id="46"/>
      <w:bookmarkEnd w:id="47"/>
      <w:r w:rsidR="000D76F0">
        <w:t>)</w:t>
      </w:r>
      <w:r w:rsidRPr="006C0BE6">
        <w:t>, in order for a work to be made-for-hire it must be:</w:t>
      </w:r>
    </w:p>
    <w:p w14:paraId="238513D0" w14:textId="77777777" w:rsidR="006C0BE6" w:rsidRPr="006C0BE6" w:rsidRDefault="006C0BE6" w:rsidP="004208B8">
      <w:pPr>
        <w:ind w:left="720"/>
      </w:pPr>
      <w:r w:rsidRPr="006C0BE6">
        <w:rPr>
          <w:b/>
          <w:bCs/>
        </w:rPr>
        <w:t>(1)</w:t>
      </w:r>
      <w:r w:rsidRPr="006C0BE6">
        <w:t> </w:t>
      </w:r>
      <w:proofErr w:type="gramStart"/>
      <w:r w:rsidRPr="006C0BE6">
        <w:t>a</w:t>
      </w:r>
      <w:proofErr w:type="gramEnd"/>
      <w:r w:rsidRPr="006C0BE6">
        <w:t xml:space="preserve"> work prepared by an employee within the scope of his or her employment; or</w:t>
      </w:r>
    </w:p>
    <w:p w14:paraId="4355DF4B" w14:textId="77777777" w:rsidR="006C0BE6" w:rsidRPr="006C0BE6" w:rsidRDefault="006C0BE6" w:rsidP="004208B8">
      <w:pPr>
        <w:ind w:left="720"/>
      </w:pPr>
      <w:r w:rsidRPr="006C0BE6">
        <w:rPr>
          <w:b/>
          <w:bCs/>
        </w:rPr>
        <w:t>(2)</w:t>
      </w:r>
      <w:r w:rsidRPr="006C0BE6">
        <w:t xml:space="preserve">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 </w:t>
      </w:r>
    </w:p>
    <w:p w14:paraId="50640AB9" w14:textId="77777777" w:rsidR="006C0BE6" w:rsidRPr="006C0BE6" w:rsidRDefault="006C0BE6" w:rsidP="006C0BE6"/>
    <w:p w14:paraId="28FC4A2D" w14:textId="77777777" w:rsidR="006C0BE6" w:rsidRPr="006C0BE6" w:rsidRDefault="006C0BE6" w:rsidP="004208B8">
      <w:pPr>
        <w:spacing w:line="480" w:lineRule="auto"/>
      </w:pPr>
      <w:r w:rsidRPr="006C0BE6">
        <w:t>It is uncontested that Defendant Lime was never an employee of Plaintiff, and that the work was never created within the scope of employment.  Thus, in order for the script to be made-for-hire, it must “fit within any of the nine categories of ‘specially ordered or commissioned’ works enumerated in [</w:t>
      </w:r>
      <w:bookmarkStart w:id="48" w:name="Psych_Cite_224"/>
      <w:bookmarkStart w:id="49" w:name="Ignore_This_224"/>
      <w:r w:rsidRPr="006C0BE6">
        <w:t>§ 101(2)</w:t>
      </w:r>
      <w:bookmarkEnd w:id="48"/>
      <w:bookmarkEnd w:id="49"/>
      <w:r w:rsidRPr="006C0BE6">
        <w:t>]” and there must be a signed “written agreement between the parties establish[</w:t>
      </w:r>
      <w:proofErr w:type="spellStart"/>
      <w:r w:rsidRPr="006C0BE6">
        <w:t>ing</w:t>
      </w:r>
      <w:proofErr w:type="spellEnd"/>
      <w:r w:rsidRPr="006C0BE6">
        <w:t xml:space="preserve">] a work for hire.” </w:t>
      </w:r>
      <w:bookmarkStart w:id="50" w:name="CITRUS_BOOKMARK1"/>
      <w:proofErr w:type="spellStart"/>
      <w:r w:rsidRPr="0052289C">
        <w:rPr>
          <w:i/>
        </w:rPr>
        <w:t>Cmty</w:t>
      </w:r>
      <w:proofErr w:type="spellEnd"/>
      <w:r w:rsidRPr="0052289C">
        <w:rPr>
          <w:i/>
        </w:rPr>
        <w:t xml:space="preserve">. </w:t>
      </w:r>
      <w:proofErr w:type="gramStart"/>
      <w:r w:rsidRPr="0052289C">
        <w:rPr>
          <w:i/>
        </w:rPr>
        <w:t>for</w:t>
      </w:r>
      <w:proofErr w:type="gramEnd"/>
      <w:r w:rsidRPr="0052289C">
        <w:rPr>
          <w:i/>
        </w:rPr>
        <w:t xml:space="preserve"> Creative Non-Violence v. Reid</w:t>
      </w:r>
      <w:r w:rsidRPr="0052289C">
        <w:t>, 490 U.S. 730, 738 (1989)</w:t>
      </w:r>
      <w:bookmarkEnd w:id="50"/>
      <w:r w:rsidRPr="006C0BE6">
        <w:t xml:space="preserve">. </w:t>
      </w:r>
    </w:p>
    <w:p w14:paraId="71B67A8F" w14:textId="77777777" w:rsidR="006C0BE6" w:rsidRPr="006C0BE6" w:rsidRDefault="006C0BE6" w:rsidP="004208B8">
      <w:pPr>
        <w:spacing w:line="480" w:lineRule="auto"/>
        <w:ind w:firstLine="720"/>
      </w:pPr>
      <w:r w:rsidRPr="006C0BE6">
        <w:t xml:space="preserve">In the </w:t>
      </w:r>
      <w:r w:rsidR="00846833">
        <w:t>case before the Court</w:t>
      </w:r>
      <w:r w:rsidRPr="006C0BE6">
        <w:t xml:space="preserve">, it is uncontested that the script at issue was commissioned by Plaintiff.  Further, it is uncontested that the script was specially commissioned for use as a “contribution to a collective work” and as a part of “an audiovisual work;” two of the nine categories enumerated by </w:t>
      </w:r>
      <w:bookmarkStart w:id="51" w:name="Psych_Cite_228"/>
      <w:bookmarkStart w:id="52" w:name="Ignore_This_228"/>
      <w:r w:rsidRPr="006C0BE6">
        <w:t>§ 101(2)</w:t>
      </w:r>
      <w:bookmarkEnd w:id="51"/>
      <w:bookmarkEnd w:id="52"/>
      <w:r w:rsidRPr="006C0BE6">
        <w:t xml:space="preserve">. It is also uncontested that there exists a written agreement signed by both parties, the terms of which the parties expressly agreed to prior to the creation of the script. The only contention arises over whether the signed writing requirement is valid on the grounds of it having been signed after the creation of the commissioned work.  Thus, in the case before the Court, the creation of a valid work-for-hire hinges on whether </w:t>
      </w:r>
      <w:r w:rsidR="00F379C4">
        <w:t xml:space="preserve">the work-made-for-hire </w:t>
      </w:r>
      <w:r w:rsidR="00F379C4">
        <w:lastRenderedPageBreak/>
        <w:t xml:space="preserve">provision of </w:t>
      </w:r>
      <w:r w:rsidRPr="006C0BE6">
        <w:t>the Copyright Act of 1976 requires the written instrument to be signed by both parties preceding the creation of the work.</w:t>
      </w:r>
    </w:p>
    <w:p w14:paraId="0088B478" w14:textId="77777777" w:rsidR="006C0BE6" w:rsidRPr="006C0BE6" w:rsidRDefault="006C0BE6" w:rsidP="007878D4">
      <w:pPr>
        <w:spacing w:line="480" w:lineRule="auto"/>
        <w:ind w:firstLine="720"/>
      </w:pPr>
      <w:r w:rsidRPr="006C0BE6">
        <w:t xml:space="preserve">Through examination and application of the text’s plain meaning, legislative intent, and the rule of lenity, it is evident that the </w:t>
      </w:r>
      <w:r w:rsidR="005C2852">
        <w:t xml:space="preserve">work-made-for-hire’s </w:t>
      </w:r>
      <w:r w:rsidRPr="006C0BE6">
        <w:t xml:space="preserve">signed writing is not required before the </w:t>
      </w:r>
      <w:r w:rsidR="000D3423">
        <w:t>commencement of</w:t>
      </w:r>
      <w:r w:rsidRPr="006C0BE6">
        <w:t xml:space="preserve"> the work.  It follows that Plaintiff has a valid work-made-for-hire agreement, and fulfills all the elements required to file a claim for relief.</w:t>
      </w:r>
    </w:p>
    <w:p w14:paraId="177FFE18" w14:textId="77777777" w:rsidR="006C0BE6" w:rsidRPr="007A726D" w:rsidRDefault="007A726D" w:rsidP="00F61AF8">
      <w:pPr>
        <w:numPr>
          <w:ilvl w:val="0"/>
          <w:numId w:val="10"/>
        </w:numPr>
        <w:rPr>
          <w:b/>
          <w:u w:val="single"/>
        </w:rPr>
      </w:pPr>
      <w:r>
        <w:rPr>
          <w:b/>
          <w:u w:val="single"/>
        </w:rPr>
        <w:t>Plaintiff Has a V</w:t>
      </w:r>
      <w:r w:rsidR="006C0BE6" w:rsidRPr="007A726D">
        <w:rPr>
          <w:b/>
          <w:u w:val="single"/>
        </w:rPr>
        <w:t xml:space="preserve">alid </w:t>
      </w:r>
      <w:r>
        <w:rPr>
          <w:b/>
          <w:u w:val="single"/>
        </w:rPr>
        <w:t>Work-Made-For-H</w:t>
      </w:r>
      <w:r w:rsidR="00C533EE" w:rsidRPr="007A726D">
        <w:rPr>
          <w:b/>
          <w:u w:val="single"/>
        </w:rPr>
        <w:t xml:space="preserve">ire </w:t>
      </w:r>
      <w:r>
        <w:rPr>
          <w:b/>
          <w:u w:val="single"/>
        </w:rPr>
        <w:t>Because the Plain M</w:t>
      </w:r>
      <w:r w:rsidR="006C0BE6" w:rsidRPr="007A726D">
        <w:rPr>
          <w:b/>
          <w:u w:val="single"/>
        </w:rPr>
        <w:t xml:space="preserve">eaning of the </w:t>
      </w:r>
      <w:r>
        <w:rPr>
          <w:b/>
          <w:u w:val="single"/>
        </w:rPr>
        <w:t>P</w:t>
      </w:r>
      <w:r w:rsidR="005C2852" w:rsidRPr="007A726D">
        <w:rPr>
          <w:b/>
          <w:u w:val="single"/>
        </w:rPr>
        <w:t xml:space="preserve">rovision </w:t>
      </w:r>
      <w:r>
        <w:rPr>
          <w:b/>
          <w:u w:val="single"/>
        </w:rPr>
        <w:t>Does N</w:t>
      </w:r>
      <w:r w:rsidR="006C0BE6" w:rsidRPr="007A726D">
        <w:rPr>
          <w:b/>
          <w:u w:val="single"/>
        </w:rPr>
        <w:t xml:space="preserve">ot </w:t>
      </w:r>
      <w:r>
        <w:rPr>
          <w:b/>
          <w:u w:val="single"/>
        </w:rPr>
        <w:t>Require the Signed W</w:t>
      </w:r>
      <w:r w:rsidR="00C533EE" w:rsidRPr="007A726D">
        <w:rPr>
          <w:b/>
          <w:u w:val="single"/>
        </w:rPr>
        <w:t xml:space="preserve">riting </w:t>
      </w:r>
      <w:r>
        <w:rPr>
          <w:b/>
          <w:u w:val="single"/>
        </w:rPr>
        <w:t>to Precede the W</w:t>
      </w:r>
      <w:r w:rsidR="00C533EE" w:rsidRPr="007A726D">
        <w:rPr>
          <w:b/>
          <w:u w:val="single"/>
        </w:rPr>
        <w:t>ork’</w:t>
      </w:r>
      <w:r>
        <w:rPr>
          <w:b/>
          <w:u w:val="single"/>
        </w:rPr>
        <w:t>s C</w:t>
      </w:r>
      <w:r w:rsidR="00C533EE" w:rsidRPr="007A726D">
        <w:rPr>
          <w:b/>
          <w:u w:val="single"/>
        </w:rPr>
        <w:t>ommission</w:t>
      </w:r>
    </w:p>
    <w:p w14:paraId="24438F6D" w14:textId="77777777" w:rsidR="006C0BE6" w:rsidRPr="006C0BE6" w:rsidRDefault="006C0BE6" w:rsidP="006C0BE6"/>
    <w:p w14:paraId="4EE20A1F" w14:textId="77777777" w:rsidR="006C0BE6" w:rsidRPr="006C0BE6" w:rsidRDefault="00EB5DA8" w:rsidP="00260CF5">
      <w:pPr>
        <w:spacing w:line="480" w:lineRule="auto"/>
        <w:ind w:firstLine="720"/>
      </w:pPr>
      <w:r>
        <w:t xml:space="preserve">In the case before the Court, </w:t>
      </w:r>
      <w:r w:rsidR="00241125">
        <w:t xml:space="preserve">through analysis of the provision’s plain language, it can be determined that </w:t>
      </w:r>
      <w:r w:rsidR="006112CA">
        <w:t xml:space="preserve">a work-made-for-hire does not require the signed writing to precede it.  </w:t>
      </w:r>
      <w:r w:rsidR="006C0BE6" w:rsidRPr="006C0BE6">
        <w:t xml:space="preserve">When interpreting a statute, the first question the Court must ask is whether the plain language of the statute is clear. </w:t>
      </w:r>
      <w:bookmarkStart w:id="53" w:name="CITRUS_BOOKMARK3"/>
      <w:r w:rsidR="006C0BE6" w:rsidRPr="0052289C">
        <w:rPr>
          <w:i/>
        </w:rPr>
        <w:t>Chevron</w:t>
      </w:r>
      <w:r w:rsidR="0052289C" w:rsidRPr="0052289C">
        <w:rPr>
          <w:i/>
        </w:rPr>
        <w:t xml:space="preserve"> U.S.A. Inc. v. Natural Resources Defense Council</w:t>
      </w:r>
      <w:r w:rsidR="0052289C">
        <w:t>, 467 U.S. 837, 842 (1984)</w:t>
      </w:r>
      <w:bookmarkEnd w:id="53"/>
      <w:r w:rsidR="006C0BE6" w:rsidRPr="006C0BE6">
        <w:t xml:space="preserve">. If the text is clear, the plain meaning is controlling and the Court must “enforce it according to its terms.” </w:t>
      </w:r>
      <w:bookmarkStart w:id="54" w:name="CITRUS_BOOKMARK4"/>
      <w:r w:rsidR="006C0BE6" w:rsidRPr="0052289C">
        <w:rPr>
          <w:i/>
        </w:rPr>
        <w:t>Arlington Cent. Sch. Dist. Bd. of Educ. v. Murphy</w:t>
      </w:r>
      <w:r w:rsidR="006C0BE6" w:rsidRPr="0052289C">
        <w:t xml:space="preserve">, </w:t>
      </w:r>
      <w:r w:rsidR="00260CF5" w:rsidRPr="0052289C">
        <w:t>548 U.S. 291, 296</w:t>
      </w:r>
      <w:r w:rsidR="006C0BE6" w:rsidRPr="0052289C">
        <w:t xml:space="preserve"> (2006)</w:t>
      </w:r>
      <w:bookmarkEnd w:id="54"/>
      <w:r w:rsidR="006C0BE6" w:rsidRPr="006C0BE6">
        <w:t xml:space="preserve">.  </w:t>
      </w:r>
    </w:p>
    <w:p w14:paraId="50AB2E53" w14:textId="77777777" w:rsidR="006C0BE6" w:rsidRPr="006C0BE6" w:rsidRDefault="006C0BE6" w:rsidP="004208B8">
      <w:pPr>
        <w:spacing w:line="480" w:lineRule="auto"/>
        <w:ind w:firstLine="720"/>
      </w:pPr>
      <w:r w:rsidRPr="006C0BE6">
        <w:t xml:space="preserve">In the </w:t>
      </w:r>
      <w:r w:rsidR="00846833">
        <w:t>case before the Court</w:t>
      </w:r>
      <w:r w:rsidRPr="006C0BE6">
        <w:t xml:space="preserve">, the language of </w:t>
      </w:r>
      <w:r w:rsidR="00EA297F">
        <w:t xml:space="preserve">the work-made-for-hire provision </w:t>
      </w:r>
      <w:r w:rsidRPr="006C0BE6">
        <w:t xml:space="preserve">does not expressly require the </w:t>
      </w:r>
      <w:r w:rsidR="00806616">
        <w:t xml:space="preserve">signed </w:t>
      </w:r>
      <w:r w:rsidRPr="006C0BE6">
        <w:t xml:space="preserve">writing to be completed before the </w:t>
      </w:r>
      <w:r w:rsidR="00806616">
        <w:t xml:space="preserve">commencement </w:t>
      </w:r>
      <w:r w:rsidRPr="006C0BE6">
        <w:t xml:space="preserve">of a commissioned work.  The text merely states that </w:t>
      </w:r>
      <w:r w:rsidR="00C41690">
        <w:t>“</w:t>
      </w:r>
      <w:r w:rsidR="00C41690" w:rsidRPr="006C0BE6">
        <w:t>the work shall be considered a work made for hire</w:t>
      </w:r>
      <w:r w:rsidR="00C41690">
        <w:t>…</w:t>
      </w:r>
      <w:r w:rsidRPr="006C0BE6">
        <w:t xml:space="preserve">if the parties expressly agree in a written instrument signed by them.” </w:t>
      </w:r>
      <w:bookmarkStart w:id="55" w:name="CITRUS_BOOKMARK5"/>
      <w:proofErr w:type="gramStart"/>
      <w:r w:rsidRPr="006C0BE6">
        <w:t>17 U.S.C. §</w:t>
      </w:r>
      <w:r w:rsidR="0052289C">
        <w:t> 101(2)</w:t>
      </w:r>
      <w:bookmarkEnd w:id="55"/>
      <w:r w:rsidRPr="006C0BE6">
        <w:t>.</w:t>
      </w:r>
      <w:proofErr w:type="gramEnd"/>
      <w:r w:rsidRPr="006C0BE6">
        <w:t xml:space="preserve">  It does not carry a temporal requirement as the Defendants contend.  </w:t>
      </w:r>
    </w:p>
    <w:p w14:paraId="521D0D41" w14:textId="77777777" w:rsidR="006C0BE6" w:rsidRPr="006C0BE6" w:rsidRDefault="006C0BE6" w:rsidP="00C02B35">
      <w:pPr>
        <w:spacing w:line="480" w:lineRule="auto"/>
        <w:ind w:firstLine="720"/>
      </w:pPr>
      <w:r w:rsidRPr="006C0BE6">
        <w:t xml:space="preserve">In cases where explicit language does not exist, it has been established that the Court cannot “simply impose its own construction on the statute.” </w:t>
      </w:r>
      <w:r w:rsidRPr="006C0BE6">
        <w:rPr>
          <w:i/>
        </w:rPr>
        <w:t>Chevron v. NRDC</w:t>
      </w:r>
      <w:proofErr w:type="gramStart"/>
      <w:r w:rsidRPr="006C0BE6">
        <w:rPr>
          <w:i/>
        </w:rPr>
        <w:t>.</w:t>
      </w:r>
      <w:r w:rsidRPr="006C0BE6">
        <w:t>,</w:t>
      </w:r>
      <w:proofErr w:type="gramEnd"/>
      <w:r w:rsidRPr="006C0BE6">
        <w:t xml:space="preserve"> at </w:t>
      </w:r>
      <w:r w:rsidR="009B411F" w:rsidRPr="009B411F">
        <w:t>843</w:t>
      </w:r>
      <w:r w:rsidRPr="006C0BE6">
        <w:t xml:space="preserve">. Thus, in such cases, a negative </w:t>
      </w:r>
      <w:r w:rsidRPr="007B4C5D">
        <w:t>implication – where nonexistent words and requirements are not read into a statute –</w:t>
      </w:r>
      <w:r w:rsidRPr="006C0BE6">
        <w:t xml:space="preserve"> is attached to the missing language. </w:t>
      </w:r>
      <w:bookmarkStart w:id="56" w:name="CITRUS_BOOKMARK6"/>
      <w:r w:rsidRPr="0052289C">
        <w:rPr>
          <w:i/>
        </w:rPr>
        <w:t xml:space="preserve">Cent. </w:t>
      </w:r>
      <w:proofErr w:type="gramStart"/>
      <w:r w:rsidRPr="0052289C">
        <w:rPr>
          <w:i/>
        </w:rPr>
        <w:t>Bank of Denver, N.A. v.</w:t>
      </w:r>
      <w:proofErr w:type="gramEnd"/>
      <w:r w:rsidRPr="0052289C">
        <w:rPr>
          <w:i/>
        </w:rPr>
        <w:t xml:space="preserve"> First Interstate </w:t>
      </w:r>
      <w:r w:rsidRPr="0052289C">
        <w:rPr>
          <w:i/>
        </w:rPr>
        <w:lastRenderedPageBreak/>
        <w:t>Bank of Denver, N.A.</w:t>
      </w:r>
      <w:r w:rsidRPr="0052289C">
        <w:t xml:space="preserve">, </w:t>
      </w:r>
      <w:r w:rsidR="008B286F" w:rsidRPr="0052289C">
        <w:t>511 U.S. 164, 186</w:t>
      </w:r>
      <w:r w:rsidRPr="0052289C">
        <w:t xml:space="preserve"> (1994)</w:t>
      </w:r>
      <w:bookmarkEnd w:id="56"/>
      <w:r w:rsidRPr="006C0BE6">
        <w:t xml:space="preserve">. This is justified by the notion that the legislature knows how to explicitly include language it feels is necessary, and any exclusion of a provision was done “intentionally and purposely.” </w:t>
      </w:r>
      <w:bookmarkStart w:id="57" w:name="CITRUS_BOOKMARK7"/>
      <w:proofErr w:type="spellStart"/>
      <w:proofErr w:type="gramStart"/>
      <w:r w:rsidRPr="0052289C">
        <w:rPr>
          <w:i/>
        </w:rPr>
        <w:t>Hamdan</w:t>
      </w:r>
      <w:proofErr w:type="spellEnd"/>
      <w:r w:rsidRPr="0052289C">
        <w:rPr>
          <w:i/>
        </w:rPr>
        <w:t xml:space="preserve"> v. Rumsfeld</w:t>
      </w:r>
      <w:r w:rsidRPr="0052289C">
        <w:t xml:space="preserve">, </w:t>
      </w:r>
      <w:r w:rsidR="00C02B35" w:rsidRPr="0052289C">
        <w:t xml:space="preserve">548 U.S. 557, 578 </w:t>
      </w:r>
      <w:r w:rsidRPr="0052289C">
        <w:t>(2006)</w:t>
      </w:r>
      <w:bookmarkEnd w:id="57"/>
      <w:r w:rsidRPr="006C0BE6">
        <w:t>.</w:t>
      </w:r>
      <w:proofErr w:type="gramEnd"/>
      <w:r w:rsidRPr="006C0BE6">
        <w:t xml:space="preserve">  Thus, in the </w:t>
      </w:r>
      <w:r w:rsidR="00F12560">
        <w:t>case before the C</w:t>
      </w:r>
      <w:r w:rsidR="004E2086">
        <w:t>ourt</w:t>
      </w:r>
      <w:r w:rsidRPr="006C0BE6">
        <w:t xml:space="preserve">, it is improper to imply a time requirement where the legislature purposefully excluded one. </w:t>
      </w:r>
    </w:p>
    <w:p w14:paraId="3F924E0E" w14:textId="77777777" w:rsidR="006C0BE6" w:rsidRPr="006C0BE6" w:rsidRDefault="006C0BE6" w:rsidP="004208B8">
      <w:pPr>
        <w:spacing w:line="480" w:lineRule="auto"/>
        <w:ind w:firstLine="720"/>
      </w:pPr>
      <w:r w:rsidRPr="006C0BE6">
        <w:t xml:space="preserve">Ultimately, through examining the plain language of </w:t>
      </w:r>
      <w:r w:rsidR="002B65E2">
        <w:t xml:space="preserve">the work-made-for-hire provision and application of </w:t>
      </w:r>
      <w:r w:rsidRPr="006C0BE6">
        <w:t>negative inferences</w:t>
      </w:r>
      <w:r w:rsidR="002B65E2">
        <w:t>,</w:t>
      </w:r>
      <w:r w:rsidRPr="006C0BE6">
        <w:t xml:space="preserve"> it is sufficiently clear that the signed writing is not required </w:t>
      </w:r>
      <w:r w:rsidR="002B65E2">
        <w:t xml:space="preserve">before </w:t>
      </w:r>
      <w:r w:rsidRPr="006C0BE6">
        <w:t xml:space="preserve">the commencement of a work to create a valid work-made-for-hire.  As the plain meaning of the statute is clear; it is controlling and it is essentially “the end of the matter.” </w:t>
      </w:r>
      <w:proofErr w:type="gramStart"/>
      <w:r w:rsidRPr="006C0BE6">
        <w:rPr>
          <w:i/>
        </w:rPr>
        <w:t>Chevron v. NRDC</w:t>
      </w:r>
      <w:r w:rsidRPr="006C0BE6">
        <w:t xml:space="preserve">, at </w:t>
      </w:r>
      <w:r w:rsidR="00BF5493">
        <w:t>842</w:t>
      </w:r>
      <w:r w:rsidRPr="006C0BE6">
        <w:t>.</w:t>
      </w:r>
      <w:proofErr w:type="gramEnd"/>
      <w:r w:rsidRPr="006C0BE6">
        <w:t xml:space="preserve"> Moreover, as it is evident that Plaintiff created a valid work-for-hire agreement, Plaintiff sufficiently demonstrates a plausible claim upon which relief may be g</w:t>
      </w:r>
      <w:r w:rsidR="00A2562B">
        <w:t>ranted.  Thus, the Defendants’ motion to d</w:t>
      </w:r>
      <w:r w:rsidRPr="006C0BE6">
        <w:t xml:space="preserve">ismiss should be denied.  </w:t>
      </w:r>
    </w:p>
    <w:p w14:paraId="6AC947F3" w14:textId="77777777" w:rsidR="006C0BE6" w:rsidRPr="004208B8" w:rsidRDefault="006C0BE6" w:rsidP="00F61AF8">
      <w:pPr>
        <w:numPr>
          <w:ilvl w:val="0"/>
          <w:numId w:val="10"/>
        </w:numPr>
        <w:rPr>
          <w:b/>
          <w:u w:val="single"/>
        </w:rPr>
      </w:pPr>
      <w:r w:rsidRPr="004208B8">
        <w:rPr>
          <w:b/>
          <w:u w:val="single"/>
        </w:rPr>
        <w:t>Examinat</w:t>
      </w:r>
      <w:r w:rsidR="00157960">
        <w:rPr>
          <w:b/>
          <w:u w:val="single"/>
        </w:rPr>
        <w:t>ion of the T</w:t>
      </w:r>
      <w:r w:rsidRPr="004208B8">
        <w:rPr>
          <w:b/>
          <w:u w:val="single"/>
        </w:rPr>
        <w:t xml:space="preserve">ext of </w:t>
      </w:r>
      <w:r w:rsidR="00AF571F">
        <w:rPr>
          <w:b/>
          <w:u w:val="single"/>
        </w:rPr>
        <w:t>t</w:t>
      </w:r>
      <w:r w:rsidR="00157960">
        <w:rPr>
          <w:b/>
          <w:u w:val="single"/>
        </w:rPr>
        <w:t>he</w:t>
      </w:r>
      <w:r w:rsidR="00AF571F">
        <w:rPr>
          <w:b/>
          <w:u w:val="single"/>
        </w:rPr>
        <w:t xml:space="preserve"> </w:t>
      </w:r>
      <w:r w:rsidR="00157960">
        <w:rPr>
          <w:b/>
          <w:u w:val="single"/>
        </w:rPr>
        <w:t>Work-Made-For-H</w:t>
      </w:r>
      <w:r w:rsidR="00AF571F">
        <w:rPr>
          <w:b/>
          <w:u w:val="single"/>
        </w:rPr>
        <w:t xml:space="preserve">ire </w:t>
      </w:r>
      <w:r w:rsidR="00157960">
        <w:rPr>
          <w:b/>
          <w:u w:val="single"/>
        </w:rPr>
        <w:t>P</w:t>
      </w:r>
      <w:r w:rsidR="00AF571F">
        <w:rPr>
          <w:b/>
          <w:u w:val="single"/>
        </w:rPr>
        <w:t xml:space="preserve">rovision </w:t>
      </w:r>
      <w:r w:rsidR="00157960">
        <w:rPr>
          <w:b/>
          <w:u w:val="single"/>
        </w:rPr>
        <w:t>in Context to the Whole Statue and Related Law Further Establishes that the Required Writing Does not Need to Be Signed Before the Creation of a W</w:t>
      </w:r>
      <w:r w:rsidRPr="004208B8">
        <w:rPr>
          <w:b/>
          <w:u w:val="single"/>
        </w:rPr>
        <w:t xml:space="preserve">ork </w:t>
      </w:r>
      <w:r w:rsidR="00157960">
        <w:rPr>
          <w:b/>
          <w:u w:val="single"/>
        </w:rPr>
        <w:t>to Be a V</w:t>
      </w:r>
      <w:r w:rsidRPr="004208B8">
        <w:rPr>
          <w:b/>
          <w:u w:val="single"/>
        </w:rPr>
        <w:t xml:space="preserve">alid </w:t>
      </w:r>
      <w:r w:rsidR="00157960">
        <w:rPr>
          <w:b/>
          <w:u w:val="single"/>
        </w:rPr>
        <w:t>Work-Made-For-H</w:t>
      </w:r>
      <w:r w:rsidR="00AF571F">
        <w:rPr>
          <w:b/>
          <w:u w:val="single"/>
        </w:rPr>
        <w:t xml:space="preserve">ire </w:t>
      </w:r>
    </w:p>
    <w:p w14:paraId="46DA1F73" w14:textId="77777777" w:rsidR="006C0BE6" w:rsidRPr="006C0BE6" w:rsidRDefault="006C0BE6" w:rsidP="006C0BE6"/>
    <w:p w14:paraId="38F56774" w14:textId="77777777" w:rsidR="00F77EB3" w:rsidRPr="00F77EB3" w:rsidRDefault="006C0BE6" w:rsidP="00F77EB3">
      <w:pPr>
        <w:spacing w:line="480" w:lineRule="auto"/>
        <w:ind w:firstLine="720"/>
      </w:pPr>
      <w:r w:rsidRPr="006C0BE6">
        <w:t xml:space="preserve">The Court can further </w:t>
      </w:r>
      <w:r w:rsidR="002B65E2">
        <w:t>demonstrate</w:t>
      </w:r>
      <w:r w:rsidR="002B65E2" w:rsidRPr="006C0BE6">
        <w:t xml:space="preserve"> </w:t>
      </w:r>
      <w:r w:rsidR="002B65E2">
        <w:t>t</w:t>
      </w:r>
      <w:r w:rsidRPr="006C0BE6">
        <w:t xml:space="preserve">he plain meaning of </w:t>
      </w:r>
      <w:r w:rsidR="002B65E2">
        <w:t xml:space="preserve">the work-made-for-hire provision </w:t>
      </w:r>
      <w:r w:rsidR="00F44AEE">
        <w:t>does</w:t>
      </w:r>
      <w:r w:rsidRPr="006C0BE6">
        <w:t xml:space="preserve"> not requir</w:t>
      </w:r>
      <w:r w:rsidR="00F44AEE">
        <w:t>e</w:t>
      </w:r>
      <w:r w:rsidRPr="006C0BE6">
        <w:t xml:space="preserve"> a signed writing prior to the commencement of a work through reading the requirements of </w:t>
      </w:r>
      <w:r w:rsidR="00F44AEE">
        <w:t xml:space="preserve">the work-made-for-hire provision </w:t>
      </w:r>
      <w:r w:rsidRPr="006C0BE6">
        <w:t xml:space="preserve">in context to the other provisions within the Copyright Act, as well as overarching bodies of law. </w:t>
      </w:r>
      <w:r w:rsidR="006515DE" w:rsidRPr="006515DE">
        <w:t>This is because similar language and construction should be construed the same to maintain consistency</w:t>
      </w:r>
      <w:r w:rsidR="006515DE">
        <w:t xml:space="preserve"> within the </w:t>
      </w:r>
      <w:r w:rsidR="009C63E8">
        <w:t xml:space="preserve">bodies of </w:t>
      </w:r>
      <w:r w:rsidR="006515DE">
        <w:t>law</w:t>
      </w:r>
      <w:r w:rsidR="006515DE" w:rsidRPr="006515DE">
        <w:t xml:space="preserve">. </w:t>
      </w:r>
      <w:r w:rsidRPr="006C0BE6">
        <w:t xml:space="preserve"> </w:t>
      </w:r>
      <w:bookmarkStart w:id="58" w:name="CITRUS_BOOKMARK8"/>
      <w:proofErr w:type="gramStart"/>
      <w:r w:rsidR="0052289C" w:rsidRPr="0052289C">
        <w:rPr>
          <w:i/>
        </w:rPr>
        <w:t>Nat'l Credit Union Admin.</w:t>
      </w:r>
      <w:proofErr w:type="gramEnd"/>
      <w:r w:rsidR="0052289C" w:rsidRPr="0052289C">
        <w:rPr>
          <w:i/>
        </w:rPr>
        <w:t xml:space="preserve"> v. First Nat'l Bank &amp; Trust Co.</w:t>
      </w:r>
      <w:r w:rsidR="0052289C">
        <w:t>, 522 U.S. 479, 501 (1998)</w:t>
      </w:r>
      <w:bookmarkEnd w:id="58"/>
      <w:r w:rsidR="00DD41FB">
        <w:t>.</w:t>
      </w:r>
    </w:p>
    <w:p w14:paraId="398E9D77" w14:textId="77777777" w:rsidR="006C0BE6" w:rsidRPr="006C0BE6" w:rsidRDefault="006C0BE6" w:rsidP="006515DE">
      <w:pPr>
        <w:spacing w:line="480" w:lineRule="auto"/>
        <w:ind w:firstLine="720"/>
      </w:pPr>
      <w:r w:rsidRPr="006C0BE6">
        <w:t xml:space="preserve">Within the larger frame of the Copyright act, reading </w:t>
      </w:r>
      <w:r w:rsidR="00DE0875">
        <w:t>the work-made-for-hire provision (</w:t>
      </w:r>
      <w:bookmarkStart w:id="59" w:name="CITRUS_BOOKMARK1000000009"/>
      <w:r w:rsidR="00DE0875">
        <w:t>17 U.S.C. §</w:t>
      </w:r>
      <w:r w:rsidRPr="006C0BE6">
        <w:t>101(2)</w:t>
      </w:r>
      <w:bookmarkEnd w:id="59"/>
      <w:r w:rsidR="00DE0875">
        <w:t>)</w:t>
      </w:r>
      <w:r w:rsidRPr="006C0BE6">
        <w:t xml:space="preserve"> in context to the </w:t>
      </w:r>
      <w:r w:rsidR="006222A5">
        <w:t>transfer-of-intellectual-property provision</w:t>
      </w:r>
      <w:r w:rsidR="00DE0875">
        <w:t xml:space="preserve"> (</w:t>
      </w:r>
      <w:bookmarkStart w:id="60" w:name="CITRUS_BOOKMARK1000000010"/>
      <w:r w:rsidR="00DE0875">
        <w:t xml:space="preserve">17 U.S.C. </w:t>
      </w:r>
      <w:r w:rsidR="00DE0875" w:rsidRPr="006C0BE6">
        <w:t>§204</w:t>
      </w:r>
      <w:bookmarkEnd w:id="60"/>
      <w:r w:rsidR="00DE0875">
        <w:t>)</w:t>
      </w:r>
      <w:r w:rsidRPr="006C0BE6">
        <w:t xml:space="preserve">, provides support to the plain meaning of the text not requiring the signed writing to precede the </w:t>
      </w:r>
      <w:r w:rsidRPr="006C0BE6">
        <w:lastRenderedPageBreak/>
        <w:t xml:space="preserve">creation of a work.  This is because both possess a similar signed written instrument requirement. </w:t>
      </w:r>
      <w:bookmarkStart w:id="61" w:name="CITRUS_BOOKMARK11"/>
      <w:proofErr w:type="gramStart"/>
      <w:r w:rsidRPr="006C0BE6">
        <w:t>17 U.S.C. §</w:t>
      </w:r>
      <w:r w:rsidR="0052289C">
        <w:t> 204(a)</w:t>
      </w:r>
      <w:bookmarkEnd w:id="61"/>
      <w:r w:rsidRPr="006C0BE6">
        <w:t>.</w:t>
      </w:r>
      <w:proofErr w:type="gramEnd"/>
      <w:r w:rsidRPr="006C0BE6">
        <w:t xml:space="preserve"> </w:t>
      </w:r>
      <w:r w:rsidR="006222A5">
        <w:t xml:space="preserve">When transferring </w:t>
      </w:r>
      <w:r w:rsidRPr="006C0BE6">
        <w:t xml:space="preserve">copyrights </w:t>
      </w:r>
      <w:r w:rsidR="006222A5">
        <w:t xml:space="preserve">ownership </w:t>
      </w:r>
      <w:r w:rsidRPr="006C0BE6">
        <w:t xml:space="preserve">under </w:t>
      </w:r>
      <w:r w:rsidR="006222A5">
        <w:t xml:space="preserve">the transfer-of-intellectual-property provision, </w:t>
      </w:r>
      <w:r w:rsidR="00437261">
        <w:t xml:space="preserve">it has been established that </w:t>
      </w:r>
      <w:r w:rsidRPr="006C0BE6">
        <w:t xml:space="preserve">“a writing memorializing an earlier oral agreement” satisfies the signed writing requirement so long as the writing “simply demonstrate[s] an intent by the parties to transfer specific rights associated with the copyright.” </w:t>
      </w:r>
      <w:bookmarkStart w:id="62" w:name="CITRUS_BOOKMARK1000000012"/>
      <w:r w:rsidRPr="006C0BE6">
        <w:rPr>
          <w:i/>
        </w:rPr>
        <w:t>Billy-Bob Teeth, Inc. v. Novelty, Inc.</w:t>
      </w:r>
      <w:r w:rsidRPr="006C0BE6">
        <w:t>, 329 F.3d 586, 591 (7th Cir.2003)</w:t>
      </w:r>
      <w:bookmarkEnd w:id="62"/>
      <w:r w:rsidRPr="006C0BE6">
        <w:t xml:space="preserve">. Essentially, </w:t>
      </w:r>
      <w:r w:rsidR="00C07D24" w:rsidRPr="006C0BE6">
        <w:t>so long as it evinces the parties’ intent</w:t>
      </w:r>
      <w:r w:rsidR="00C07D24">
        <w:t xml:space="preserve">, </w:t>
      </w:r>
      <w:r w:rsidRPr="006C0BE6">
        <w:t>a signed writ</w:t>
      </w:r>
      <w:r w:rsidR="00CB3999">
        <w:t>ing does not have to precede its</w:t>
      </w:r>
      <w:r w:rsidR="00C07D24">
        <w:t xml:space="preserve"> transaction for it to be valid</w:t>
      </w:r>
      <w:r w:rsidRPr="006C0BE6">
        <w:t xml:space="preserve">.  </w:t>
      </w:r>
      <w:r w:rsidR="00A700CB">
        <w:t xml:space="preserve">In the case before the Court, </w:t>
      </w:r>
      <w:r w:rsidR="006748D3">
        <w:t xml:space="preserve">the </w:t>
      </w:r>
      <w:r w:rsidR="006D148F">
        <w:t xml:space="preserve">“Work-Made-For-Hire-Agreement” that both parties signed was a reduction of the terms of their oral agreement.  Reading the </w:t>
      </w:r>
      <w:r w:rsidR="006222A5">
        <w:t xml:space="preserve">work-made-for-hire provision </w:t>
      </w:r>
      <w:r w:rsidRPr="006C0BE6">
        <w:t xml:space="preserve">consistently with </w:t>
      </w:r>
      <w:r w:rsidR="00916F86">
        <w:t>transfer-of-intellectual-property provision</w:t>
      </w:r>
      <w:r w:rsidR="0071576D">
        <w:t>, it follows that a post-</w:t>
      </w:r>
      <w:r w:rsidRPr="006C0BE6">
        <w:t>deal signed writing can satisfy its signed writing requirement</w:t>
      </w:r>
      <w:r w:rsidR="006D148F">
        <w:t xml:space="preserve"> of a work-made-for-hire</w:t>
      </w:r>
      <w:r w:rsidRPr="006C0BE6">
        <w:t xml:space="preserve">. </w:t>
      </w:r>
    </w:p>
    <w:p w14:paraId="2F3BAD48" w14:textId="77777777" w:rsidR="006C0BE6" w:rsidRPr="006C0BE6" w:rsidRDefault="007F14F5" w:rsidP="005363F7">
      <w:pPr>
        <w:spacing w:line="480" w:lineRule="auto"/>
        <w:ind w:firstLine="720"/>
      </w:pPr>
      <w:r>
        <w:t xml:space="preserve">Reading </w:t>
      </w:r>
      <w:r w:rsidR="00916F86">
        <w:t xml:space="preserve">the work-made-for-hire provision within the frame of contract law provides further evidence that the work-made-for-hire provision does not require </w:t>
      </w:r>
      <w:r w:rsidR="00001F2E">
        <w:t xml:space="preserve">the signed writing to precede the commencement of the work.  </w:t>
      </w:r>
      <w:r w:rsidR="006C0BE6" w:rsidRPr="006C0BE6">
        <w:t xml:space="preserve">Just as a plain meaning of a provision should be read consistently within the whole act, whenever possible a congressional enactment should be construed to be consistent with other laws relating to the same subject matter. </w:t>
      </w:r>
      <w:bookmarkStart w:id="63" w:name="CITRUS_BOOKMARK13"/>
      <w:proofErr w:type="gramStart"/>
      <w:r w:rsidR="006C0BE6" w:rsidRPr="0052289C">
        <w:rPr>
          <w:i/>
        </w:rPr>
        <w:t>Kawasaki Kisen Kaisha Ltd. v. Regal-Beloit Corp.</w:t>
      </w:r>
      <w:r w:rsidR="006C0BE6" w:rsidRPr="0052289C">
        <w:t>, 130 S. Ct. 2433, 2447 (2010)</w:t>
      </w:r>
      <w:bookmarkEnd w:id="63"/>
      <w:r w:rsidR="006C0BE6" w:rsidRPr="006C0BE6">
        <w:t>.</w:t>
      </w:r>
      <w:proofErr w:type="gramEnd"/>
      <w:r w:rsidR="006C0BE6" w:rsidRPr="006C0BE6">
        <w:t xml:space="preserve">  </w:t>
      </w:r>
      <w:r w:rsidR="00980707">
        <w:t>T</w:t>
      </w:r>
      <w:r w:rsidR="006C0BE6" w:rsidRPr="006C0BE6">
        <w:t xml:space="preserve">his arises out of the presumption that the legislature knew of the relevant body of law when framing their statutes, and would not purposefully create discontinuities in the legal rights and obligations of other statutes. </w:t>
      </w:r>
      <w:bookmarkStart w:id="64" w:name="CITRUS_BOOKMARK14"/>
      <w:proofErr w:type="gramStart"/>
      <w:r w:rsidR="006C0BE6" w:rsidRPr="0052289C">
        <w:rPr>
          <w:i/>
        </w:rPr>
        <w:t>Green v. Bock Laundry Mach. Co.</w:t>
      </w:r>
      <w:r w:rsidR="006C0BE6" w:rsidRPr="0052289C">
        <w:t>, 490 U.S. 504, 521-22 (1989)</w:t>
      </w:r>
      <w:bookmarkEnd w:id="64"/>
      <w:r w:rsidR="006C0BE6" w:rsidRPr="006C0BE6">
        <w:t>.</w:t>
      </w:r>
      <w:proofErr w:type="gramEnd"/>
      <w:r w:rsidR="006C0BE6" w:rsidRPr="006C0BE6">
        <w:t xml:space="preserve"> </w:t>
      </w:r>
      <w:r w:rsidR="00980707">
        <w:t>Thus, w</w:t>
      </w:r>
      <w:r w:rsidR="006C0BE6" w:rsidRPr="006C0BE6">
        <w:t xml:space="preserve">hen interpreting the provisions of the Copyright Act, </w:t>
      </w:r>
      <w:r w:rsidR="00980707">
        <w:t>like the work-made-for-hire provision</w:t>
      </w:r>
      <w:r w:rsidR="006C0BE6" w:rsidRPr="006C0BE6">
        <w:t xml:space="preserve">, it is prudent to consult established contract law. </w:t>
      </w:r>
      <w:proofErr w:type="spellStart"/>
      <w:proofErr w:type="gramStart"/>
      <w:r w:rsidR="006C0BE6" w:rsidRPr="006C0BE6">
        <w:rPr>
          <w:i/>
        </w:rPr>
        <w:t>Nimmer</w:t>
      </w:r>
      <w:proofErr w:type="spellEnd"/>
      <w:r w:rsidR="006C0BE6" w:rsidRPr="006C0BE6">
        <w:rPr>
          <w:i/>
        </w:rPr>
        <w:t xml:space="preserve"> on Copy</w:t>
      </w:r>
      <w:bookmarkStart w:id="65" w:name="CITRUS_BOOKMARK15"/>
      <w:r w:rsidR="006C0BE6" w:rsidRPr="0052289C">
        <w:rPr>
          <w:i/>
        </w:rPr>
        <w:t>right </w:t>
      </w:r>
      <w:r w:rsidR="006C0BE6" w:rsidRPr="0052289C">
        <w:t>§</w:t>
      </w:r>
      <w:r w:rsidR="0052289C">
        <w:t> 10.08[B] (1982)</w:t>
      </w:r>
      <w:bookmarkEnd w:id="65"/>
      <w:r w:rsidR="006C0BE6" w:rsidRPr="006C0BE6">
        <w:t>.</w:t>
      </w:r>
      <w:proofErr w:type="gramEnd"/>
      <w:r w:rsidR="006C0BE6" w:rsidRPr="006C0BE6">
        <w:t xml:space="preserve"> </w:t>
      </w:r>
    </w:p>
    <w:p w14:paraId="1F736ED6" w14:textId="77777777" w:rsidR="006C0BE6" w:rsidRPr="006C0BE6" w:rsidRDefault="006C0BE6" w:rsidP="005363F7">
      <w:pPr>
        <w:spacing w:line="480" w:lineRule="auto"/>
        <w:ind w:firstLine="720"/>
      </w:pPr>
      <w:r w:rsidRPr="006C0BE6">
        <w:lastRenderedPageBreak/>
        <w:t xml:space="preserve">Under contract law it is recognized that explicit agreements can be later reduced into writing as it is essentially the “conduct by both parties which recognizes the existence of a contract.” </w:t>
      </w:r>
      <w:bookmarkStart w:id="66" w:name="CITRUS_BOOKMARK16"/>
      <w:proofErr w:type="gramStart"/>
      <w:r w:rsidRPr="0052289C">
        <w:rPr>
          <w:i/>
        </w:rPr>
        <w:t>Harlow</w:t>
      </w:r>
      <w:r w:rsidR="0052289C" w:rsidRPr="0052289C">
        <w:rPr>
          <w:i/>
        </w:rPr>
        <w:t> &amp; Jones, Inc. v. Advance Steel Co.</w:t>
      </w:r>
      <w:r w:rsidR="0052289C">
        <w:t>, 424 F. Supp. 770, 775 (E.D. Mich. 1976)</w:t>
      </w:r>
      <w:bookmarkEnd w:id="66"/>
      <w:r w:rsidRPr="006C0BE6">
        <w:t xml:space="preserve"> citing</w:t>
      </w:r>
      <w:r w:rsidRPr="006C0BE6">
        <w:rPr>
          <w:i/>
        </w:rPr>
        <w:t xml:space="preserve"> </w:t>
      </w:r>
      <w:r w:rsidRPr="006C0BE6">
        <w:t>UCC 2-207(3).</w:t>
      </w:r>
      <w:proofErr w:type="gramEnd"/>
      <w:r w:rsidRPr="006C0BE6">
        <w:t xml:space="preserve"> </w:t>
      </w:r>
      <w:r w:rsidR="00DB2CA9" w:rsidRPr="00DB2CA9">
        <w:t xml:space="preserve">By placing emphasis on the conduct of the parties, it can be seen contract law essentially vies to effectuate the intent of the parties. </w:t>
      </w:r>
      <w:bookmarkStart w:id="67" w:name="CITRUS_BOOKMARK17"/>
      <w:r w:rsidR="00DB2CA9" w:rsidRPr="0052289C">
        <w:rPr>
          <w:i/>
        </w:rPr>
        <w:t xml:space="preserve">Compaq Computer Corp. v. </w:t>
      </w:r>
      <w:proofErr w:type="spellStart"/>
      <w:r w:rsidR="00DB2CA9" w:rsidRPr="0052289C">
        <w:rPr>
          <w:i/>
        </w:rPr>
        <w:t>Ergonome</w:t>
      </w:r>
      <w:proofErr w:type="spellEnd"/>
      <w:r w:rsidR="00DB2CA9" w:rsidRPr="0052289C">
        <w:rPr>
          <w:i/>
        </w:rPr>
        <w:t xml:space="preserve"> Inc.</w:t>
      </w:r>
      <w:r w:rsidR="00DB2CA9" w:rsidRPr="0052289C">
        <w:t xml:space="preserve">, 210 F. Supp. 2d </w:t>
      </w:r>
      <w:r w:rsidR="001B2179" w:rsidRPr="0052289C">
        <w:t xml:space="preserve">839, </w:t>
      </w:r>
      <w:r w:rsidR="00DB2CA9" w:rsidRPr="0052289C">
        <w:t>844 (S.D. Tex. 2001)</w:t>
      </w:r>
      <w:bookmarkEnd w:id="67"/>
      <w:r w:rsidR="00DB2CA9" w:rsidRPr="00DB2CA9">
        <w:t>.</w:t>
      </w:r>
      <w:r w:rsidR="00DB2CA9">
        <w:t xml:space="preserve"> </w:t>
      </w:r>
      <w:r w:rsidRPr="006C0BE6">
        <w:t>Thus, as mentioned</w:t>
      </w:r>
      <w:r w:rsidR="005363F7">
        <w:t xml:space="preserve"> above, it is established that </w:t>
      </w:r>
      <w:r w:rsidRPr="006C0BE6">
        <w:t>s</w:t>
      </w:r>
      <w:r w:rsidR="005363F7">
        <w:t>o</w:t>
      </w:r>
      <w:r w:rsidRPr="006C0BE6">
        <w:t xml:space="preserve"> long as the signed writings evinces the intent of the parties, the writing does not have to precede the transaction.  Requiring the writing to be signed before the commencement of a work, as the Defendants contend, would disrupt the underpinnings of contract law like that of relying on course of dealings, the notion that contracts may consist of several writings, and the ability to reduce oral agreements to writing.  </w:t>
      </w:r>
      <w:bookmarkStart w:id="68" w:name="CITRUS_BOOKMARK18"/>
      <w:r w:rsidR="0052289C" w:rsidRPr="0052289C">
        <w:rPr>
          <w:i/>
        </w:rPr>
        <w:t>Playboy Enters. v. Dumas</w:t>
      </w:r>
      <w:r w:rsidR="0052289C">
        <w:t>, 53 F.3d 549, 552 (2d Cir. 1995)</w:t>
      </w:r>
      <w:bookmarkEnd w:id="68"/>
      <w:r w:rsidRPr="006C0BE6">
        <w:t xml:space="preserve">.  Thus, if </w:t>
      </w:r>
      <w:r w:rsidR="00DB2CA9">
        <w:t xml:space="preserve">the work-made-for-hire provision </w:t>
      </w:r>
      <w:r w:rsidRPr="006C0BE6">
        <w:t>was interpreted consistently with contract law, there exist</w:t>
      </w:r>
      <w:r w:rsidR="00361036">
        <w:t>s</w:t>
      </w:r>
      <w:r w:rsidRPr="006C0BE6">
        <w:t xml:space="preserve"> a val</w:t>
      </w:r>
      <w:r w:rsidR="00361036">
        <w:t xml:space="preserve">id work-made-for-hire agreement </w:t>
      </w:r>
      <w:r w:rsidRPr="006C0BE6">
        <w:t xml:space="preserve">so long as there </w:t>
      </w:r>
      <w:r w:rsidR="00361036">
        <w:t>is</w:t>
      </w:r>
      <w:r w:rsidRPr="006C0BE6">
        <w:t xml:space="preserve"> an explicit agreement, </w:t>
      </w:r>
      <w:r w:rsidR="00361036">
        <w:t>which is later reduced to writing and signed by both parties</w:t>
      </w:r>
      <w:r w:rsidRPr="006C0BE6">
        <w:t xml:space="preserve">.  </w:t>
      </w:r>
    </w:p>
    <w:p w14:paraId="2A6FCCC1" w14:textId="77777777" w:rsidR="006C0BE6" w:rsidRPr="006C0BE6" w:rsidRDefault="006C0BE6" w:rsidP="00BD6491">
      <w:pPr>
        <w:spacing w:line="480" w:lineRule="auto"/>
        <w:ind w:firstLine="720"/>
      </w:pPr>
      <w:r w:rsidRPr="006C0BE6">
        <w:t xml:space="preserve">Therefore, upon further examination of the language of </w:t>
      </w:r>
      <w:r w:rsidR="00794080">
        <w:t xml:space="preserve">the work-made-for-hire provision </w:t>
      </w:r>
      <w:r w:rsidRPr="006C0BE6">
        <w:t>in context to other provision</w:t>
      </w:r>
      <w:r w:rsidR="00794080">
        <w:t>s</w:t>
      </w:r>
      <w:r w:rsidRPr="006C0BE6">
        <w:t xml:space="preserve"> within the Copyright Act </w:t>
      </w:r>
      <w:r w:rsidR="00406E90">
        <w:t xml:space="preserve">of 1976 </w:t>
      </w:r>
      <w:r w:rsidRPr="006C0BE6">
        <w:t>and the overarching contract law, it is further established that the signed writing does not have to precede the commencement a work to create a valid work-made-for-hire.  Thus, because Plaintiff created a valid work-made-for-hire upon which a plausible claim upon which relief m</w:t>
      </w:r>
      <w:r w:rsidR="00A2562B">
        <w:t>ay be granted, the Defendants’ motion to d</w:t>
      </w:r>
      <w:r w:rsidRPr="006C0BE6">
        <w:t xml:space="preserve">ismiss should be denied. </w:t>
      </w:r>
    </w:p>
    <w:p w14:paraId="1E0EC6C1" w14:textId="77777777" w:rsidR="006C0BE6" w:rsidRPr="006C0BE6" w:rsidRDefault="006C0BE6" w:rsidP="00F61AF8">
      <w:pPr>
        <w:numPr>
          <w:ilvl w:val="0"/>
          <w:numId w:val="10"/>
        </w:numPr>
        <w:rPr>
          <w:b/>
          <w:u w:val="single"/>
        </w:rPr>
      </w:pPr>
      <w:r w:rsidRPr="006C0BE6">
        <w:rPr>
          <w:b/>
          <w:u w:val="single"/>
        </w:rPr>
        <w:t>Legislative Inten</w:t>
      </w:r>
      <w:r w:rsidR="001D32E3">
        <w:rPr>
          <w:b/>
          <w:u w:val="single"/>
        </w:rPr>
        <w:t>t Provides Further Support for N</w:t>
      </w:r>
      <w:r w:rsidRPr="006C0BE6">
        <w:rPr>
          <w:b/>
          <w:u w:val="single"/>
        </w:rPr>
        <w:t xml:space="preserve">ot </w:t>
      </w:r>
      <w:r w:rsidR="001D32E3">
        <w:rPr>
          <w:b/>
          <w:u w:val="single"/>
        </w:rPr>
        <w:t>R</w:t>
      </w:r>
      <w:r w:rsidR="00D86DD1" w:rsidRPr="006C0BE6">
        <w:rPr>
          <w:b/>
          <w:u w:val="single"/>
        </w:rPr>
        <w:t>equiring</w:t>
      </w:r>
      <w:r w:rsidR="001D32E3">
        <w:rPr>
          <w:b/>
          <w:u w:val="single"/>
        </w:rPr>
        <w:t xml:space="preserve"> a Signed Writing to P</w:t>
      </w:r>
      <w:r w:rsidRPr="006C0BE6">
        <w:rPr>
          <w:b/>
          <w:u w:val="single"/>
        </w:rPr>
        <w:t xml:space="preserve">recede </w:t>
      </w:r>
      <w:r w:rsidR="001D32E3">
        <w:rPr>
          <w:b/>
          <w:u w:val="single"/>
        </w:rPr>
        <w:t>a Work-Made-For-H</w:t>
      </w:r>
      <w:r w:rsidRPr="006C0BE6">
        <w:rPr>
          <w:b/>
          <w:u w:val="single"/>
        </w:rPr>
        <w:t>ire</w:t>
      </w:r>
    </w:p>
    <w:p w14:paraId="37EBAE42" w14:textId="77777777" w:rsidR="006C0BE6" w:rsidRPr="006C0BE6" w:rsidRDefault="006C0BE6" w:rsidP="006C0BE6"/>
    <w:p w14:paraId="6788F324" w14:textId="77777777" w:rsidR="00D13E5B" w:rsidRDefault="006C0BE6" w:rsidP="00C367E9">
      <w:pPr>
        <w:spacing w:line="480" w:lineRule="auto"/>
        <w:ind w:firstLine="720"/>
      </w:pPr>
      <w:r w:rsidRPr="006C0BE6">
        <w:t xml:space="preserve">Though the plain language of </w:t>
      </w:r>
      <w:r w:rsidR="00D14C2E">
        <w:t xml:space="preserve">the work-made-for-hire provision </w:t>
      </w:r>
      <w:r w:rsidRPr="006C0BE6">
        <w:t xml:space="preserve">is clear, in the event that the court finds ambiguity, the Court can look to the legislative intent for further clarification. </w:t>
      </w:r>
      <w:r w:rsidRPr="006C0BE6">
        <w:lastRenderedPageBreak/>
        <w:t xml:space="preserve">Legislative intent can primarily be found through examining the history behind a provision’s enactment (legislative history), as well as its formal evolution through the amendment process (statutory history). </w:t>
      </w:r>
      <w:bookmarkStart w:id="69" w:name="CITRUS_BOOKMARK19"/>
      <w:proofErr w:type="spellStart"/>
      <w:proofErr w:type="gramStart"/>
      <w:r w:rsidR="005E18AE" w:rsidRPr="0052289C">
        <w:rPr>
          <w:i/>
        </w:rPr>
        <w:t>Muscarello</w:t>
      </w:r>
      <w:proofErr w:type="spellEnd"/>
      <w:r w:rsidR="005E18AE" w:rsidRPr="0052289C">
        <w:rPr>
          <w:i/>
        </w:rPr>
        <w:t xml:space="preserve"> v. United States</w:t>
      </w:r>
      <w:r w:rsidR="005E18AE" w:rsidRPr="0052289C">
        <w:t xml:space="preserve">, </w:t>
      </w:r>
      <w:r w:rsidR="00C367E9" w:rsidRPr="0052289C">
        <w:t>524 U.S. 125, 126</w:t>
      </w:r>
      <w:r w:rsidR="005E18AE" w:rsidRPr="0052289C">
        <w:t xml:space="preserve"> (1998)</w:t>
      </w:r>
      <w:bookmarkEnd w:id="69"/>
      <w:r w:rsidR="005E18AE" w:rsidRPr="006C0BE6">
        <w:t>.</w:t>
      </w:r>
      <w:proofErr w:type="gramEnd"/>
      <w:r w:rsidR="005E18AE" w:rsidRPr="006C0BE6">
        <w:t xml:space="preserve">  </w:t>
      </w:r>
      <w:r w:rsidRPr="006C0BE6">
        <w:t xml:space="preserve"> </w:t>
      </w:r>
    </w:p>
    <w:p w14:paraId="0BE48BC4" w14:textId="77777777" w:rsidR="00362C97" w:rsidRPr="006C0BE6" w:rsidRDefault="0067143B" w:rsidP="00362C97">
      <w:pPr>
        <w:spacing w:line="480" w:lineRule="auto"/>
        <w:ind w:firstLine="720"/>
      </w:pPr>
      <w:r>
        <w:t>When considering legislative history, i</w:t>
      </w:r>
      <w:r w:rsidR="00362C97" w:rsidRPr="006C0BE6">
        <w:t xml:space="preserve">t has been ruled that courts should not rely upon committee reports </w:t>
      </w:r>
      <w:r w:rsidR="00E737EC">
        <w:t xml:space="preserve">unless they </w:t>
      </w:r>
      <w:r w:rsidR="00E737EC" w:rsidRPr="006C0BE6">
        <w:t>“demonstrate a clearly manifest congressional intent</w:t>
      </w:r>
      <w:r>
        <w:t>.</w:t>
      </w:r>
      <w:r w:rsidR="00E737EC" w:rsidRPr="006C0BE6">
        <w:t xml:space="preserve">” </w:t>
      </w:r>
      <w:bookmarkStart w:id="70" w:name="CITRUS_BOOKMARK20"/>
      <w:r w:rsidR="0052289C" w:rsidRPr="0052289C">
        <w:rPr>
          <w:i/>
        </w:rPr>
        <w:t xml:space="preserve">Wis. Pub. </w:t>
      </w:r>
      <w:proofErr w:type="spellStart"/>
      <w:proofErr w:type="gramStart"/>
      <w:r w:rsidR="0052289C" w:rsidRPr="0052289C">
        <w:rPr>
          <w:i/>
        </w:rPr>
        <w:t>Intervenor</w:t>
      </w:r>
      <w:proofErr w:type="spellEnd"/>
      <w:r w:rsidR="0052289C" w:rsidRPr="0052289C">
        <w:rPr>
          <w:i/>
        </w:rPr>
        <w:t xml:space="preserve"> v. </w:t>
      </w:r>
      <w:proofErr w:type="spellStart"/>
      <w:r w:rsidR="0052289C" w:rsidRPr="0052289C">
        <w:rPr>
          <w:i/>
        </w:rPr>
        <w:t>Mortier</w:t>
      </w:r>
      <w:proofErr w:type="spellEnd"/>
      <w:r w:rsidR="0052289C">
        <w:t>, 501 U.S. 597, 597 (1991)</w:t>
      </w:r>
      <w:bookmarkEnd w:id="70"/>
      <w:r w:rsidR="00E737EC" w:rsidRPr="006C0BE6">
        <w:t>.</w:t>
      </w:r>
      <w:proofErr w:type="gramEnd"/>
      <w:r w:rsidR="00E737EC">
        <w:t xml:space="preserve"> A</w:t>
      </w:r>
      <w:r w:rsidR="00362C97" w:rsidRPr="006C0BE6">
        <w:t xml:space="preserve">s in the </w:t>
      </w:r>
      <w:r w:rsidR="00846833">
        <w:t>case before the Court</w:t>
      </w:r>
      <w:r w:rsidR="00362C97" w:rsidRPr="006C0BE6">
        <w:t xml:space="preserve">, legislative history </w:t>
      </w:r>
      <w:r w:rsidR="00E737EC">
        <w:t>that is</w:t>
      </w:r>
      <w:r w:rsidR="00E737EC" w:rsidRPr="006C0BE6">
        <w:t xml:space="preserve"> ambiguous</w:t>
      </w:r>
      <w:r w:rsidR="00E737EC">
        <w:t>,</w:t>
      </w:r>
      <w:r w:rsidR="00E737EC" w:rsidRPr="006C0BE6">
        <w:t xml:space="preserve"> imprecise</w:t>
      </w:r>
      <w:r w:rsidR="00E737EC">
        <w:t xml:space="preserve"> or </w:t>
      </w:r>
      <w:r w:rsidR="00362C97" w:rsidRPr="006C0BE6">
        <w:t xml:space="preserve">fails to provide clarity should be discounted. </w:t>
      </w:r>
      <w:bookmarkStart w:id="71" w:name="CITRUS_BOOKMARK21"/>
      <w:proofErr w:type="gramStart"/>
      <w:r w:rsidR="00362C97" w:rsidRPr="0052289C">
        <w:rPr>
          <w:i/>
        </w:rPr>
        <w:t xml:space="preserve">Conroy v. </w:t>
      </w:r>
      <w:proofErr w:type="spellStart"/>
      <w:r w:rsidR="00362C97" w:rsidRPr="0052289C">
        <w:rPr>
          <w:i/>
        </w:rPr>
        <w:t>Aniskoff</w:t>
      </w:r>
      <w:proofErr w:type="spellEnd"/>
      <w:r w:rsidR="00362C97" w:rsidRPr="0052289C">
        <w:t xml:space="preserve">, </w:t>
      </w:r>
      <w:r w:rsidR="00E46627" w:rsidRPr="0052289C">
        <w:t>507 U.S. 511, 518</w:t>
      </w:r>
      <w:r w:rsidR="00362C97" w:rsidRPr="0052289C">
        <w:t xml:space="preserve"> (1993)</w:t>
      </w:r>
      <w:bookmarkEnd w:id="71"/>
      <w:r w:rsidR="00362C97" w:rsidRPr="006C0BE6">
        <w:t>.</w:t>
      </w:r>
      <w:proofErr w:type="gramEnd"/>
    </w:p>
    <w:p w14:paraId="59D28FF4" w14:textId="77777777" w:rsidR="006C0BE6" w:rsidRPr="006C0BE6" w:rsidRDefault="00D86DD1" w:rsidP="00D13E5B">
      <w:pPr>
        <w:spacing w:line="480" w:lineRule="auto"/>
        <w:ind w:firstLine="720"/>
      </w:pPr>
      <w:r>
        <w:t xml:space="preserve">Broadly, in the 1960’s Congress sought to amend the Copyright Act of 1909 due to its growing inapplicability.  </w:t>
      </w:r>
      <w:bookmarkStart w:id="72" w:name="CITRUS_BOOKMARK22"/>
      <w:r w:rsidR="00244EE4" w:rsidRPr="0052289C">
        <w:t xml:space="preserve">Jessica </w:t>
      </w:r>
      <w:proofErr w:type="spellStart"/>
      <w:r w:rsidR="00244EE4" w:rsidRPr="0052289C">
        <w:t>Litman</w:t>
      </w:r>
      <w:proofErr w:type="spellEnd"/>
      <w:r w:rsidR="00244EE4" w:rsidRPr="0052289C">
        <w:t xml:space="preserve">, </w:t>
      </w:r>
      <w:r w:rsidR="006F335D" w:rsidRPr="0052289C">
        <w:rPr>
          <w:i/>
        </w:rPr>
        <w:t xml:space="preserve">Copyright, </w:t>
      </w:r>
      <w:r w:rsidR="00244EE4" w:rsidRPr="0052289C">
        <w:rPr>
          <w:i/>
        </w:rPr>
        <w:t>Compromise</w:t>
      </w:r>
      <w:r w:rsidR="006F335D" w:rsidRPr="0052289C">
        <w:rPr>
          <w:i/>
        </w:rPr>
        <w:t>, and Legislative History.</w:t>
      </w:r>
      <w:r w:rsidR="006F335D" w:rsidRPr="0052289C">
        <w:rPr>
          <w:bCs/>
          <w:i/>
        </w:rPr>
        <w:t>72 Cornell L. Rev.</w:t>
      </w:r>
      <w:r w:rsidR="006F335D" w:rsidRPr="0052289C">
        <w:rPr>
          <w:bCs/>
        </w:rPr>
        <w:t xml:space="preserve"> 857, </w:t>
      </w:r>
      <w:r w:rsidR="006F335D" w:rsidRPr="0052289C">
        <w:t>858 (1987)</w:t>
      </w:r>
      <w:bookmarkEnd w:id="72"/>
      <w:r w:rsidR="006F335D" w:rsidRPr="006C0BE6">
        <w:t>.</w:t>
      </w:r>
      <w:r w:rsidR="00D30BBD">
        <w:t xml:space="preserve"> </w:t>
      </w:r>
      <w:r>
        <w:t xml:space="preserve">Gathering </w:t>
      </w:r>
      <w:r w:rsidR="00D30BBD" w:rsidRPr="00D30BBD">
        <w:t xml:space="preserve">representatives of </w:t>
      </w:r>
      <w:r w:rsidR="00A64D6A">
        <w:t xml:space="preserve">the private interest groups </w:t>
      </w:r>
      <w:r w:rsidR="006A4AD1">
        <w:t xml:space="preserve">for negotiations, </w:t>
      </w:r>
      <w:r>
        <w:t xml:space="preserve">Congress sought to create a body of law that </w:t>
      </w:r>
      <w:r w:rsidR="009B2264">
        <w:t>would “</w:t>
      </w:r>
      <w:proofErr w:type="gramStart"/>
      <w:r w:rsidR="009B2264">
        <w:t>benefit[</w:t>
      </w:r>
      <w:proofErr w:type="gramEnd"/>
      <w:r w:rsidR="009B2264">
        <w:t>]</w:t>
      </w:r>
      <w:r w:rsidR="009B2264" w:rsidRPr="009B2264">
        <w:t xml:space="preserve"> everyone acquiring rights under a copyright</w:t>
      </w:r>
      <w:r w:rsidR="009B2264">
        <w:t>”</w:t>
      </w:r>
      <w:r w:rsidR="009B2264" w:rsidRPr="009B2264">
        <w:t> </w:t>
      </w:r>
      <w:r w:rsidR="005530EA">
        <w:t>(</w:t>
      </w:r>
      <w:proofErr w:type="spellStart"/>
      <w:r w:rsidR="00244EE4">
        <w:t>Litman</w:t>
      </w:r>
      <w:proofErr w:type="spellEnd"/>
      <w:r w:rsidR="00FC2F65">
        <w:t>,</w:t>
      </w:r>
      <w:r w:rsidR="00244EE4">
        <w:rPr>
          <w:i/>
        </w:rPr>
        <w:t xml:space="preserve"> </w:t>
      </w:r>
      <w:r w:rsidR="009B2264">
        <w:t>at 861, 893</w:t>
      </w:r>
      <w:r w:rsidR="005530EA">
        <w:t>)</w:t>
      </w:r>
      <w:r w:rsidR="006F3336">
        <w:t>,</w:t>
      </w:r>
      <w:r w:rsidR="005530EA">
        <w:t xml:space="preserve"> </w:t>
      </w:r>
      <w:r w:rsidR="002C4CC5">
        <w:t>by enhancing</w:t>
      </w:r>
      <w:r w:rsidR="005530EA">
        <w:t xml:space="preserve"> the “</w:t>
      </w:r>
      <w:r w:rsidR="005530EA" w:rsidRPr="005530EA">
        <w:t>predictability and certainty of copyright ownership</w:t>
      </w:r>
      <w:r w:rsidR="00A4471D">
        <w:t xml:space="preserve">.” </w:t>
      </w:r>
      <w:r w:rsidR="00976866" w:rsidRPr="00976866">
        <w:rPr>
          <w:i/>
        </w:rPr>
        <w:t>HOUSE REPORT NO. 94-1476</w:t>
      </w:r>
      <w:r w:rsidR="00976866" w:rsidRPr="00976866">
        <w:t>, H.R. REP. 94-1476, 129</w:t>
      </w:r>
      <w:r w:rsidR="00976866">
        <w:t xml:space="preserve"> (Sept 3, 1976)</w:t>
      </w:r>
      <w:r w:rsidR="005530EA" w:rsidRPr="005530EA">
        <w:t xml:space="preserve">. </w:t>
      </w:r>
      <w:r w:rsidR="006C0BE6" w:rsidRPr="006C0BE6">
        <w:t xml:space="preserve">Though the statute states that it seeks </w:t>
      </w:r>
      <w:r w:rsidR="00C72C95">
        <w:t xml:space="preserve">to </w:t>
      </w:r>
      <w:r w:rsidR="00D52101">
        <w:t>b</w:t>
      </w:r>
      <w:r w:rsidR="002C4CC5">
        <w:t xml:space="preserve">enefit everyone </w:t>
      </w:r>
      <w:r w:rsidR="00D52101">
        <w:t>by</w:t>
      </w:r>
      <w:r w:rsidR="002C4CC5">
        <w:t xml:space="preserve"> promoting</w:t>
      </w:r>
      <w:r w:rsidR="006C0BE6" w:rsidRPr="006C0BE6">
        <w:t xml:space="preserve"> </w:t>
      </w:r>
      <w:r w:rsidR="005530EA">
        <w:t xml:space="preserve">predictability, </w:t>
      </w:r>
      <w:r w:rsidR="00362C97">
        <w:t xml:space="preserve">the legislative history </w:t>
      </w:r>
      <w:r w:rsidR="009240E5">
        <w:t xml:space="preserve">often </w:t>
      </w:r>
      <w:r w:rsidR="002C4CC5">
        <w:t>provides little guidance</w:t>
      </w:r>
      <w:r w:rsidR="009240E5">
        <w:t>.</w:t>
      </w:r>
      <w:r w:rsidR="002C4CC5">
        <w:t xml:space="preserve"> </w:t>
      </w:r>
      <w:proofErr w:type="spellStart"/>
      <w:proofErr w:type="gramStart"/>
      <w:r w:rsidR="00CB1B13">
        <w:t>Litman</w:t>
      </w:r>
      <w:proofErr w:type="spellEnd"/>
      <w:r w:rsidR="00FC2F65">
        <w:t>,</w:t>
      </w:r>
      <w:r w:rsidR="00CB1B13">
        <w:rPr>
          <w:i/>
        </w:rPr>
        <w:t xml:space="preserve"> </w:t>
      </w:r>
      <w:r w:rsidR="00CB1B13">
        <w:t>a</w:t>
      </w:r>
      <w:r w:rsidR="002C4CC5">
        <w:t>t 861, 901</w:t>
      </w:r>
      <w:r w:rsidR="00C72C95">
        <w:t>.</w:t>
      </w:r>
      <w:proofErr w:type="gramEnd"/>
      <w:r w:rsidR="00C72C95">
        <w:t xml:space="preserve"> </w:t>
      </w:r>
      <w:r w:rsidR="006C0BE6" w:rsidRPr="006C0BE6">
        <w:t>In many of the House committee report</w:t>
      </w:r>
      <w:r w:rsidR="00362C97">
        <w:t>s</w:t>
      </w:r>
      <w:r w:rsidR="006C0BE6" w:rsidRPr="006C0BE6">
        <w:t xml:space="preserve"> of 1965, the so called explanations of the provisions are mere reiterations of the provisions with no added clarification. </w:t>
      </w:r>
      <w:r w:rsidR="001D5CBE" w:rsidRPr="001D5CBE">
        <w:rPr>
          <w:i/>
        </w:rPr>
        <w:t>House Report No. 94-1476, </w:t>
      </w:r>
      <w:r w:rsidR="001D5CBE" w:rsidRPr="001D5CBE">
        <w:rPr>
          <w:bCs/>
        </w:rPr>
        <w:t>94th</w:t>
      </w:r>
      <w:r w:rsidR="001D5CBE" w:rsidRPr="001D5CBE">
        <w:t> </w:t>
      </w:r>
      <w:r w:rsidR="001D5CBE" w:rsidRPr="001D5CBE">
        <w:rPr>
          <w:bCs/>
        </w:rPr>
        <w:t>Cong</w:t>
      </w:r>
      <w:r w:rsidR="001D5CBE" w:rsidRPr="001D5CBE">
        <w:t>., 2d </w:t>
      </w:r>
      <w:r w:rsidR="001D5CBE" w:rsidRPr="001D5CBE">
        <w:rPr>
          <w:bCs/>
        </w:rPr>
        <w:t>Sess</w:t>
      </w:r>
      <w:r w:rsidR="001D5CBE" w:rsidRPr="001D5CBE">
        <w:t>., p. 66</w:t>
      </w:r>
      <w:r w:rsidR="001D5CBE">
        <w:t xml:space="preserve"> (1976). </w:t>
      </w:r>
      <w:r w:rsidR="00362C97">
        <w:t xml:space="preserve">According to Professor </w:t>
      </w:r>
      <w:proofErr w:type="spellStart"/>
      <w:r w:rsidR="00362C97">
        <w:t>Litman</w:t>
      </w:r>
      <w:proofErr w:type="spellEnd"/>
      <w:r w:rsidR="00362C97">
        <w:t xml:space="preserve">, </w:t>
      </w:r>
      <w:r w:rsidR="006F60DC">
        <w:t xml:space="preserve">even </w:t>
      </w:r>
      <w:r w:rsidR="00362C97">
        <w:t>w</w:t>
      </w:r>
      <w:r w:rsidR="006C0BE6" w:rsidRPr="006C0BE6">
        <w:t xml:space="preserve">hen members of Congress did manage to explain what they believed the provision to mean, </w:t>
      </w:r>
      <w:r w:rsidR="006F60DC">
        <w:t xml:space="preserve">many of their explanations were </w:t>
      </w:r>
      <w:r w:rsidR="006C0BE6" w:rsidRPr="006C0BE6">
        <w:t xml:space="preserve">“general, superficial, confusing, or confused.” </w:t>
      </w:r>
      <w:proofErr w:type="spellStart"/>
      <w:proofErr w:type="gramStart"/>
      <w:r w:rsidR="00CB1B13">
        <w:t>Litman</w:t>
      </w:r>
      <w:proofErr w:type="spellEnd"/>
      <w:r w:rsidR="00FC2F65">
        <w:t>,</w:t>
      </w:r>
      <w:r w:rsidR="00CB1B13">
        <w:t xml:space="preserve"> </w:t>
      </w:r>
      <w:r w:rsidR="00236183">
        <w:rPr>
          <w:bCs/>
        </w:rPr>
        <w:t xml:space="preserve">at </w:t>
      </w:r>
      <w:r w:rsidR="006C0BE6" w:rsidRPr="006C0BE6">
        <w:t>879.</w:t>
      </w:r>
      <w:proofErr w:type="gramEnd"/>
      <w:r w:rsidR="006C0BE6" w:rsidRPr="006C0BE6">
        <w:t xml:space="preserve"> In regards to the </w:t>
      </w:r>
      <w:r w:rsidR="00846833">
        <w:t>case before the Court</w:t>
      </w:r>
      <w:r w:rsidR="006C0BE6" w:rsidRPr="006C0BE6">
        <w:t xml:space="preserve">, the explanation pertaining to the writing requirement merely states, “the work will be considered a ‘work made for hire,’ but only if it is in fact ‘specially ordered or commissioned’ for that purpose </w:t>
      </w:r>
      <w:r w:rsidR="006C0BE6" w:rsidRPr="006C0BE6">
        <w:lastRenderedPageBreak/>
        <w:t xml:space="preserve">and if there is an express agreement in writing that the work be considered ‘made for hire.’” </w:t>
      </w:r>
      <w:r w:rsidR="001D5CBE">
        <w:rPr>
          <w:i/>
        </w:rPr>
        <w:t xml:space="preserve">House Report No. </w:t>
      </w:r>
      <w:r w:rsidR="006C0BE6" w:rsidRPr="006C0BE6">
        <w:rPr>
          <w:i/>
        </w:rPr>
        <w:t>94</w:t>
      </w:r>
      <w:r w:rsidR="001044DB">
        <w:rPr>
          <w:i/>
        </w:rPr>
        <w:t xml:space="preserve"> </w:t>
      </w:r>
      <w:r w:rsidR="001044DB">
        <w:t xml:space="preserve">at </w:t>
      </w:r>
      <w:r w:rsidR="006C0BE6" w:rsidRPr="006C0BE6">
        <w:t>67</w:t>
      </w:r>
      <w:r w:rsidR="006C0BE6" w:rsidRPr="006C0BE6">
        <w:rPr>
          <w:i/>
          <w:iCs/>
        </w:rPr>
        <w:t>.</w:t>
      </w:r>
      <w:r w:rsidR="006C0BE6" w:rsidRPr="006C0BE6">
        <w:t xml:space="preserve"> Ultimately, this calls into question the whether a reliable legislative intent can be drawn from </w:t>
      </w:r>
      <w:r w:rsidR="008C2B11">
        <w:t>the legislative history of the Copyright A</w:t>
      </w:r>
      <w:r w:rsidR="006C0BE6" w:rsidRPr="006C0BE6">
        <w:t xml:space="preserve">ct of 1976.  Thus it can be argued that </w:t>
      </w:r>
      <w:r w:rsidR="00D13E5B">
        <w:t xml:space="preserve">because </w:t>
      </w:r>
      <w:r w:rsidR="006C0BE6" w:rsidRPr="006C0BE6">
        <w:t xml:space="preserve">legislative history </w:t>
      </w:r>
      <w:r w:rsidR="00D13E5B">
        <w:t xml:space="preserve">is ambiguous and fails to provide clarity, it should </w:t>
      </w:r>
      <w:r w:rsidR="006C0BE6" w:rsidRPr="006C0BE6">
        <w:t xml:space="preserve">not be utilized </w:t>
      </w:r>
      <w:r w:rsidR="00D13E5B">
        <w:t xml:space="preserve">to determine the legislative intent </w:t>
      </w:r>
      <w:r w:rsidR="00C72C95">
        <w:t xml:space="preserve">of </w:t>
      </w:r>
      <w:r w:rsidR="00D13E5B">
        <w:t>the work-made-for-hire provision.</w:t>
      </w:r>
    </w:p>
    <w:p w14:paraId="7DE974DB" w14:textId="77777777" w:rsidR="006C0BE6" w:rsidRPr="006C0BE6" w:rsidRDefault="006C0BE6" w:rsidP="00362C97">
      <w:pPr>
        <w:spacing w:line="480" w:lineRule="auto"/>
        <w:ind w:firstLine="720"/>
      </w:pPr>
      <w:r w:rsidRPr="006C0BE6">
        <w:t xml:space="preserve">In contrast, the Defendants, relying on the opinions of Barbara Ringer, will assert that the legislative history is clear in regards to the timing of a signed writing under </w:t>
      </w:r>
      <w:r w:rsidR="00D13E5B">
        <w:t>the work-made-for-hire provision</w:t>
      </w:r>
      <w:r w:rsidRPr="006C0BE6">
        <w:t xml:space="preserve">.  Barbra Ringer was the Register of Copyrights </w:t>
      </w:r>
      <w:r w:rsidR="00224CA6">
        <w:t xml:space="preserve">who facilitated the negotiations </w:t>
      </w:r>
      <w:r w:rsidR="00DF5694">
        <w:t xml:space="preserve">between the interest groups </w:t>
      </w:r>
      <w:r w:rsidRPr="006C0BE6">
        <w:t xml:space="preserve">during the revision of the </w:t>
      </w:r>
      <w:bookmarkStart w:id="73" w:name="Psych_Cite_171"/>
      <w:bookmarkStart w:id="74" w:name="Ignore_This_171"/>
      <w:r w:rsidRPr="006C0BE6">
        <w:t xml:space="preserve">1909 Copyright Act in the 1960s. </w:t>
      </w:r>
      <w:proofErr w:type="gramStart"/>
      <w:r w:rsidRPr="006C0BE6">
        <w:rPr>
          <w:i/>
        </w:rPr>
        <w:t>Greenberg v. Nat'l Geographic Soc.</w:t>
      </w:r>
      <w:r w:rsidRPr="006C0BE6">
        <w:t>, 533 F.3d 1244, 1259 (11th Cir. 2008)</w:t>
      </w:r>
      <w:bookmarkEnd w:id="73"/>
      <w:bookmarkEnd w:id="74"/>
      <w:r w:rsidRPr="006C0BE6">
        <w:t>.</w:t>
      </w:r>
      <w:proofErr w:type="gramEnd"/>
      <w:r w:rsidRPr="006C0BE6">
        <w:t xml:space="preserve"> The Defendants are likely to argue that</w:t>
      </w:r>
      <w:r w:rsidR="00224CA6">
        <w:t>,</w:t>
      </w:r>
      <w:r w:rsidRPr="006C0BE6">
        <w:t xml:space="preserve"> due to her </w:t>
      </w:r>
      <w:r w:rsidR="00224CA6">
        <w:t xml:space="preserve">central </w:t>
      </w:r>
      <w:r w:rsidRPr="006C0BE6">
        <w:t xml:space="preserve">role, her statements are clear indications of legislative intent.  The Defendants will assert further that the testimony Ringer gave before the House Congressional committee in 1964, which stated that a work created on special order would not be considered a “work for hire” if the written agreement was signed after the work was created, is dispositive. </w:t>
      </w:r>
      <w:proofErr w:type="spellStart"/>
      <w:r w:rsidRPr="001D5CBE">
        <w:rPr>
          <w:i/>
        </w:rPr>
        <w:t>H.R.Rep</w:t>
      </w:r>
      <w:proofErr w:type="spellEnd"/>
      <w:r w:rsidRPr="001D5CBE">
        <w:rPr>
          <w:i/>
        </w:rPr>
        <w:t xml:space="preserve">. </w:t>
      </w:r>
      <w:proofErr w:type="gramStart"/>
      <w:r w:rsidRPr="001D5CBE">
        <w:rPr>
          <w:i/>
        </w:rPr>
        <w:t>no</w:t>
      </w:r>
      <w:proofErr w:type="gramEnd"/>
      <w:r w:rsidRPr="001D5CBE">
        <w:rPr>
          <w:i/>
        </w:rPr>
        <w:t>. 51-374</w:t>
      </w:r>
      <w:r w:rsidRPr="001D5CBE">
        <w:t>, 89</w:t>
      </w:r>
      <w:r w:rsidRPr="001D5CBE">
        <w:rPr>
          <w:vertAlign w:val="superscript"/>
        </w:rPr>
        <w:t>th</w:t>
      </w:r>
      <w:r w:rsidRPr="001D5CBE">
        <w:t xml:space="preserve"> Cong., 1</w:t>
      </w:r>
      <w:r w:rsidRPr="001D5CBE">
        <w:rPr>
          <w:vertAlign w:val="superscript"/>
        </w:rPr>
        <w:t>st</w:t>
      </w:r>
      <w:r w:rsidRPr="001D5CBE">
        <w:t xml:space="preserve"> Sess., Part 5, 1964 Revision Bill with Discussion and Comments, at 145 (1965).</w:t>
      </w:r>
      <w:r w:rsidRPr="006C0BE6">
        <w:t xml:space="preserve">  </w:t>
      </w:r>
    </w:p>
    <w:p w14:paraId="0034E103" w14:textId="77777777" w:rsidR="00DF5694" w:rsidRDefault="006C0BE6" w:rsidP="00D86DD1">
      <w:pPr>
        <w:spacing w:line="480" w:lineRule="auto"/>
        <w:ind w:firstLine="720"/>
      </w:pPr>
      <w:r w:rsidRPr="006C0BE6">
        <w:t>Though Ringer may have played an instrumental role facilitating the negotiations and discussions that fostered the creation of th</w:t>
      </w:r>
      <w:r w:rsidR="007E32DE">
        <w:t xml:space="preserve">e </w:t>
      </w:r>
      <w:r w:rsidRPr="006C0BE6">
        <w:t>Copyright Act</w:t>
      </w:r>
      <w:r w:rsidR="007E32DE">
        <w:t xml:space="preserve"> of 1976</w:t>
      </w:r>
      <w:r w:rsidRPr="006C0BE6">
        <w:t xml:space="preserve">, </w:t>
      </w:r>
      <w:r w:rsidR="007E32DE">
        <w:t>Ringer’s</w:t>
      </w:r>
      <w:r w:rsidRPr="006C0BE6">
        <w:t xml:space="preserve"> opinions are not dispositive because </w:t>
      </w:r>
      <w:r w:rsidR="007E32DE">
        <w:t xml:space="preserve">she </w:t>
      </w:r>
      <w:r w:rsidR="00DF5694">
        <w:t xml:space="preserve">essentially </w:t>
      </w:r>
      <w:r w:rsidR="007E32DE">
        <w:t>lacked</w:t>
      </w:r>
      <w:r w:rsidR="00DF5694">
        <w:t xml:space="preserve"> </w:t>
      </w:r>
      <w:r w:rsidRPr="006C0BE6">
        <w:t xml:space="preserve">the authority </w:t>
      </w:r>
      <w:r w:rsidR="007E32DE">
        <w:t xml:space="preserve">to assert her opinion, </w:t>
      </w:r>
      <w:r w:rsidR="0055797E">
        <w:t xml:space="preserve">and her </w:t>
      </w:r>
      <w:r w:rsidR="007E32DE">
        <w:t>statements are not definitively</w:t>
      </w:r>
      <w:r w:rsidR="007E32DE" w:rsidRPr="006C0BE6">
        <w:t xml:space="preserve"> </w:t>
      </w:r>
      <w:r w:rsidR="007E32DE">
        <w:t>relevant enough to speak</w:t>
      </w:r>
      <w:r w:rsidRPr="006C0BE6">
        <w:t xml:space="preserve"> on behalf of the enacting legislature.  </w:t>
      </w:r>
      <w:r w:rsidR="00DF5694">
        <w:t xml:space="preserve">This is because </w:t>
      </w:r>
      <w:r w:rsidR="00EB0EE0">
        <w:t xml:space="preserve">Ringer </w:t>
      </w:r>
      <w:r w:rsidR="00DF5694">
        <w:t xml:space="preserve">was not an elected official, and her report was submitted many years prior to </w:t>
      </w:r>
      <w:r w:rsidR="00EB0EE0">
        <w:t xml:space="preserve">the enactment of </w:t>
      </w:r>
      <w:r w:rsidR="00DF5694">
        <w:t>Copyright Act</w:t>
      </w:r>
      <w:r w:rsidR="00EB0EE0">
        <w:t xml:space="preserve"> of 1976.</w:t>
      </w:r>
    </w:p>
    <w:p w14:paraId="07A8CF7D" w14:textId="77777777" w:rsidR="008D3544" w:rsidRDefault="006C0BE6" w:rsidP="00D86DD1">
      <w:pPr>
        <w:spacing w:line="480" w:lineRule="auto"/>
        <w:ind w:firstLine="720"/>
      </w:pPr>
      <w:r w:rsidRPr="006C0BE6">
        <w:lastRenderedPageBreak/>
        <w:t xml:space="preserve">In terms of Ringers authority, </w:t>
      </w:r>
      <w:r w:rsidR="00DF5694">
        <w:t xml:space="preserve">it has been held that </w:t>
      </w:r>
      <w:r w:rsidRPr="006C0BE6">
        <w:t xml:space="preserve">judicial reliance on committee reports should be limited as they “may give unrepresentative committee members…both the power and the incentive to attempt strategic manipulations of legislative history to secure results they were unable to achieve through the statutory text. </w:t>
      </w:r>
      <w:bookmarkStart w:id="75" w:name="Psych_Cite_173"/>
      <w:r w:rsidRPr="002929E1">
        <w:rPr>
          <w:i/>
        </w:rPr>
        <w:t xml:space="preserve">Exxon Mobil Corp. v. </w:t>
      </w:r>
      <w:proofErr w:type="spellStart"/>
      <w:r w:rsidRPr="002929E1">
        <w:rPr>
          <w:i/>
        </w:rPr>
        <w:t>Allapattah</w:t>
      </w:r>
      <w:proofErr w:type="spellEnd"/>
      <w:r w:rsidRPr="002929E1">
        <w:rPr>
          <w:i/>
        </w:rPr>
        <w:t xml:space="preserve"> Services, Inc.</w:t>
      </w:r>
      <w:r w:rsidRPr="002929E1">
        <w:t>,</w:t>
      </w:r>
      <w:r w:rsidRPr="006C0BE6">
        <w:t xml:space="preserve"> 545 U.S. 546, 568 (2005)</w:t>
      </w:r>
      <w:bookmarkEnd w:id="75"/>
      <w:r w:rsidRPr="006C0BE6">
        <w:t>. As Ringer was not an elected official</w:t>
      </w:r>
      <w:r w:rsidR="00DF5694">
        <w:t xml:space="preserve">, </w:t>
      </w:r>
      <w:r w:rsidR="00E80551">
        <w:t xml:space="preserve">she </w:t>
      </w:r>
      <w:r w:rsidR="00DF5694">
        <w:t xml:space="preserve">did not have the power to </w:t>
      </w:r>
      <w:r w:rsidRPr="006C0BE6">
        <w:t xml:space="preserve">vote on or </w:t>
      </w:r>
      <w:r w:rsidR="00DF5694">
        <w:t xml:space="preserve">influence the ultimate </w:t>
      </w:r>
      <w:r w:rsidRPr="006C0BE6">
        <w:t>enact</w:t>
      </w:r>
      <w:r w:rsidR="00DF5694">
        <w:t>ment of</w:t>
      </w:r>
      <w:r w:rsidRPr="006C0BE6">
        <w:t xml:space="preserve"> the law</w:t>
      </w:r>
      <w:r w:rsidR="0055797E">
        <w:t xml:space="preserve">.  </w:t>
      </w:r>
      <w:r w:rsidRPr="006C0BE6">
        <w:t xml:space="preserve">Moreover, </w:t>
      </w:r>
      <w:r w:rsidR="00134B53">
        <w:t xml:space="preserve">because </w:t>
      </w:r>
      <w:r w:rsidRPr="006C0BE6">
        <w:t xml:space="preserve">Ringer’s statements did not always resound with the members of Congress </w:t>
      </w:r>
      <w:r w:rsidR="0055797E">
        <w:t>(</w:t>
      </w:r>
      <w:bookmarkStart w:id="76" w:name="Psych_Cite_174"/>
      <w:r w:rsidRPr="006C0BE6">
        <w:rPr>
          <w:i/>
        </w:rPr>
        <w:t>Mills Music, Inc. v. Snyder</w:t>
      </w:r>
      <w:r w:rsidRPr="006C0BE6">
        <w:t xml:space="preserve">, </w:t>
      </w:r>
      <w:r w:rsidR="00AB759E" w:rsidRPr="00AB759E">
        <w:t>469 U.S. 153, 188</w:t>
      </w:r>
      <w:r w:rsidRPr="006C0BE6">
        <w:t xml:space="preserve"> (1985)</w:t>
      </w:r>
      <w:bookmarkEnd w:id="76"/>
      <w:r w:rsidR="00AB759E">
        <w:t>)</w:t>
      </w:r>
      <w:r w:rsidR="00134B53">
        <w:t xml:space="preserve">, and </w:t>
      </w:r>
      <w:r w:rsidR="00F552EB">
        <w:t xml:space="preserve">because </w:t>
      </w:r>
      <w:r w:rsidR="00134B53">
        <w:t xml:space="preserve">many </w:t>
      </w:r>
      <w:r w:rsidR="00F552EB">
        <w:t xml:space="preserve">of her suggestions </w:t>
      </w:r>
      <w:r w:rsidR="00134B53">
        <w:t>were routinely</w:t>
      </w:r>
      <w:r w:rsidR="0055797E">
        <w:t xml:space="preserve"> </w:t>
      </w:r>
      <w:r w:rsidRPr="006C0BE6">
        <w:t xml:space="preserve">“considered and declined” </w:t>
      </w:r>
      <w:r w:rsidR="0055797E">
        <w:t>(</w:t>
      </w:r>
      <w:r w:rsidR="001D5CBE">
        <w:rPr>
          <w:i/>
        </w:rPr>
        <w:t xml:space="preserve">House Report No. </w:t>
      </w:r>
      <w:r w:rsidR="001D5CBE" w:rsidRPr="006C0BE6">
        <w:rPr>
          <w:i/>
        </w:rPr>
        <w:t>94</w:t>
      </w:r>
      <w:r w:rsidR="00681BB1">
        <w:rPr>
          <w:i/>
        </w:rPr>
        <w:t xml:space="preserve"> </w:t>
      </w:r>
      <w:r w:rsidR="00681BB1">
        <w:t>at 67</w:t>
      </w:r>
      <w:r w:rsidR="0055797E">
        <w:t>)</w:t>
      </w:r>
      <w:r w:rsidR="00134B53">
        <w:t xml:space="preserve">, </w:t>
      </w:r>
      <w:r w:rsidRPr="006C0BE6">
        <w:t xml:space="preserve">it can be inferred that her statements could have an undermining effect on the </w:t>
      </w:r>
      <w:r w:rsidR="00F552EB">
        <w:t xml:space="preserve">established </w:t>
      </w:r>
      <w:r w:rsidRPr="006C0BE6">
        <w:t>meaning of a provision</w:t>
      </w:r>
      <w:r w:rsidR="00134B53">
        <w:t xml:space="preserve">.  </w:t>
      </w:r>
    </w:p>
    <w:p w14:paraId="722CA601" w14:textId="77777777" w:rsidR="006C0BE6" w:rsidRPr="006C0BE6" w:rsidRDefault="006C0BE6" w:rsidP="00D86DD1">
      <w:pPr>
        <w:spacing w:line="480" w:lineRule="auto"/>
        <w:ind w:firstLine="720"/>
      </w:pPr>
      <w:r w:rsidRPr="006C0BE6">
        <w:t xml:space="preserve">In regards to </w:t>
      </w:r>
      <w:r w:rsidR="00134B53">
        <w:t>relevance</w:t>
      </w:r>
      <w:r w:rsidRPr="006C0BE6">
        <w:t xml:space="preserve">, Ringer’s opinions do not </w:t>
      </w:r>
      <w:r w:rsidR="00F552EB">
        <w:t xml:space="preserve">definitively </w:t>
      </w:r>
      <w:r w:rsidRPr="006C0BE6">
        <w:t>speak for the legislature because they are not c</w:t>
      </w:r>
      <w:r w:rsidR="00F552EB">
        <w:t xml:space="preserve">ontemporaneous to the </w:t>
      </w:r>
      <w:r w:rsidRPr="006C0BE6">
        <w:t xml:space="preserve">Act’s enactment. This is due in large part to the fact that Ringer’s study was “presented to the 86th Congress, not to the 94th Congress, which passed the 1976 Act some sixteen years later.” </w:t>
      </w:r>
      <w:bookmarkStart w:id="77" w:name="Psych_Cite_176"/>
      <w:proofErr w:type="spellStart"/>
      <w:proofErr w:type="gramStart"/>
      <w:r w:rsidR="00CD1C52" w:rsidRPr="00CD1C52">
        <w:rPr>
          <w:i/>
        </w:rPr>
        <w:t>Marascalco</w:t>
      </w:r>
      <w:proofErr w:type="spellEnd"/>
      <w:r w:rsidR="00CD1C52" w:rsidRPr="00CD1C52">
        <w:rPr>
          <w:i/>
        </w:rPr>
        <w:t xml:space="preserve"> v. Fantasy, Inc.,</w:t>
      </w:r>
      <w:r w:rsidR="00CD1C52" w:rsidRPr="00CD1C52">
        <w:t xml:space="preserve"> 953 F.2d 469, 473 (9th Cir. 1991)</w:t>
      </w:r>
      <w:bookmarkEnd w:id="77"/>
      <w:r w:rsidRPr="006C0BE6">
        <w:t>.</w:t>
      </w:r>
      <w:proofErr w:type="gramEnd"/>
      <w:r w:rsidRPr="006C0BE6">
        <w:t xml:space="preserve"> As co</w:t>
      </w:r>
      <w:r w:rsidR="00134B53">
        <w:t>untless members of Congress had</w:t>
      </w:r>
      <w:r w:rsidRPr="006C0BE6">
        <w:t xml:space="preserve"> been superseded during the time of the report’s submission and the passing of the Copyright Act, it can be determined that Ringer’s opinions do not </w:t>
      </w:r>
      <w:r w:rsidR="00134B53">
        <w:t xml:space="preserve">necessarily reflect the opinions </w:t>
      </w:r>
      <w:r w:rsidRPr="006C0BE6">
        <w:t xml:space="preserve">of </w:t>
      </w:r>
      <w:r w:rsidR="007712DD">
        <w:t xml:space="preserve">the </w:t>
      </w:r>
      <w:r w:rsidR="00103DBF">
        <w:t xml:space="preserve">enacting </w:t>
      </w:r>
      <w:r w:rsidRPr="006C0BE6">
        <w:t xml:space="preserve">legislature.  </w:t>
      </w:r>
    </w:p>
    <w:p w14:paraId="35E97A67" w14:textId="77777777" w:rsidR="006C0BE6" w:rsidRPr="006C0BE6" w:rsidRDefault="00797747" w:rsidP="00D86DD1">
      <w:pPr>
        <w:spacing w:line="480" w:lineRule="auto"/>
        <w:ind w:firstLine="720"/>
      </w:pPr>
      <w:r>
        <w:t>T</w:t>
      </w:r>
      <w:r w:rsidR="006C0BE6" w:rsidRPr="006C0BE6">
        <w:t xml:space="preserve">hough Ringer may have played a pivotal role </w:t>
      </w:r>
      <w:r w:rsidR="00DA0A8C">
        <w:t xml:space="preserve">in the formulation </w:t>
      </w:r>
      <w:r w:rsidR="00F552EB">
        <w:t xml:space="preserve">the work-made-for-hire provision, </w:t>
      </w:r>
      <w:r w:rsidR="006C0BE6" w:rsidRPr="006C0BE6">
        <w:t xml:space="preserve">her opinions are not clear indications of legislative intent because she was not an elected official who had power to enact the law, and her opinions </w:t>
      </w:r>
      <w:r w:rsidR="00F552EB">
        <w:t>were not contemporaneous with the Act’s enactment</w:t>
      </w:r>
      <w:r w:rsidR="006C0BE6" w:rsidRPr="006C0BE6">
        <w:t>. Th</w:t>
      </w:r>
      <w:r w:rsidR="004B7434">
        <w:t>us</w:t>
      </w:r>
      <w:r w:rsidR="006C0BE6" w:rsidRPr="006C0BE6">
        <w:t>, Ringer’s statement that the writing must be signed before the creation of a wor</w:t>
      </w:r>
      <w:r w:rsidR="00C3689D">
        <w:t xml:space="preserve">k should not be considered as </w:t>
      </w:r>
      <w:r w:rsidR="006C0BE6" w:rsidRPr="006C0BE6">
        <w:t>d</w:t>
      </w:r>
      <w:r w:rsidR="00C3689D">
        <w:t>is</w:t>
      </w:r>
      <w:r w:rsidR="006C0BE6" w:rsidRPr="006C0BE6">
        <w:t xml:space="preserve">positive. </w:t>
      </w:r>
    </w:p>
    <w:p w14:paraId="59098A52" w14:textId="77777777" w:rsidR="006C0BE6" w:rsidRPr="006C0BE6" w:rsidRDefault="006C0BE6" w:rsidP="00D86DD1">
      <w:pPr>
        <w:spacing w:line="480" w:lineRule="auto"/>
        <w:ind w:firstLine="720"/>
      </w:pPr>
      <w:r w:rsidRPr="006C0BE6">
        <w:lastRenderedPageBreak/>
        <w:t>In contrast</w:t>
      </w:r>
      <w:r w:rsidR="00C3689D">
        <w:t xml:space="preserve"> to the legislative history</w:t>
      </w:r>
      <w:r w:rsidRPr="006C0BE6">
        <w:t xml:space="preserve">, the statutory history of </w:t>
      </w:r>
      <w:r w:rsidR="005B054F">
        <w:t xml:space="preserve">the work-made-for-hire provision </w:t>
      </w:r>
      <w:r w:rsidRPr="006C0BE6">
        <w:t>clearly indicate</w:t>
      </w:r>
      <w:r w:rsidR="00A546AA">
        <w:t>s</w:t>
      </w:r>
      <w:r w:rsidRPr="006C0BE6">
        <w:t xml:space="preserve"> that Congress did not intend for the writing to be required before the creation of a work.  This can be inferred from the understanding that the Congress makes omissions purposefully, and that rejected amendments should not be relied upon. As seen in the textual argument of negative implications, because the legislature knows how to explicitly include language they feel is necessary, </w:t>
      </w:r>
      <w:r w:rsidR="0097456D">
        <w:t>it is presumed</w:t>
      </w:r>
      <w:r w:rsidR="00F552EB">
        <w:t xml:space="preserve"> that </w:t>
      </w:r>
      <w:r w:rsidRPr="006C0BE6">
        <w:t>any exclusion of language within a provision was done “intentionally and purposely.”</w:t>
      </w:r>
      <w:proofErr w:type="spellStart"/>
      <w:proofErr w:type="gramStart"/>
      <w:r w:rsidRPr="006C0BE6">
        <w:rPr>
          <w:i/>
        </w:rPr>
        <w:t>Hamdan</w:t>
      </w:r>
      <w:proofErr w:type="spellEnd"/>
      <w:r w:rsidRPr="006C0BE6">
        <w:rPr>
          <w:i/>
        </w:rPr>
        <w:t xml:space="preserve"> v. Rumsfeld</w:t>
      </w:r>
      <w:r w:rsidRPr="006C0BE6">
        <w:t xml:space="preserve">, </w:t>
      </w:r>
      <w:r w:rsidR="00FC2F65">
        <w:t xml:space="preserve">at </w:t>
      </w:r>
      <w:r w:rsidR="00A674BD" w:rsidRPr="00A674BD">
        <w:t>578</w:t>
      </w:r>
      <w:r w:rsidRPr="006C0BE6">
        <w:t>.</w:t>
      </w:r>
      <w:proofErr w:type="gramEnd"/>
      <w:r w:rsidRPr="006C0BE6">
        <w:t xml:space="preserve">  </w:t>
      </w:r>
      <w:r w:rsidR="0097456D">
        <w:t xml:space="preserve">Because </w:t>
      </w:r>
      <w:r w:rsidRPr="006C0BE6">
        <w:t xml:space="preserve">that the timing </w:t>
      </w:r>
      <w:r w:rsidR="00C3689D">
        <w:t xml:space="preserve">requirements of </w:t>
      </w:r>
      <w:r w:rsidR="00F552EB">
        <w:t>the work-made-for-hire provision</w:t>
      </w:r>
      <w:r w:rsidRPr="006C0BE6">
        <w:t xml:space="preserve"> was addressed by Ringer in her testimony to the Congressional committee </w:t>
      </w:r>
      <w:r w:rsidRPr="00B97A0A">
        <w:t>(</w:t>
      </w:r>
      <w:proofErr w:type="spellStart"/>
      <w:r w:rsidR="00B97A0A" w:rsidRPr="00B97A0A">
        <w:rPr>
          <w:i/>
        </w:rPr>
        <w:t>H.R.Rep</w:t>
      </w:r>
      <w:proofErr w:type="spellEnd"/>
      <w:r w:rsidR="00B97A0A" w:rsidRPr="00B97A0A">
        <w:rPr>
          <w:i/>
        </w:rPr>
        <w:t>. no. 51-</w:t>
      </w:r>
      <w:r w:rsidR="00B97A0A" w:rsidRPr="00B97A0A">
        <w:t xml:space="preserve">374, </w:t>
      </w:r>
      <w:r w:rsidRPr="00B97A0A">
        <w:t>at 145 (1965))</w:t>
      </w:r>
      <w:r w:rsidRPr="006C0BE6">
        <w:t>, as well as by multiple amendment proposals before Congress</w:t>
      </w:r>
      <w:r w:rsidR="00CB1C25">
        <w:t xml:space="preserve"> (</w:t>
      </w:r>
      <w:r w:rsidR="00AE2FAA" w:rsidRPr="00AE2FAA">
        <w:rPr>
          <w:i/>
        </w:rPr>
        <w:t xml:space="preserve">To Amend the Copyright Act Regarding Work Made for Hire: </w:t>
      </w:r>
      <w:r w:rsidR="00AE2FAA">
        <w:rPr>
          <w:i/>
        </w:rPr>
        <w:t xml:space="preserve">Hearing on S 1253 Before the S. Comm. On the Judiciary, </w:t>
      </w:r>
      <w:r w:rsidR="00AE2FAA">
        <w:t>101st Cong. 201 (1989)</w:t>
      </w:r>
      <w:r w:rsidR="002929E1">
        <w:t>)</w:t>
      </w:r>
      <w:r w:rsidRPr="006C0BE6">
        <w:t xml:space="preserve">, </w:t>
      </w:r>
      <w:r w:rsidR="0097456D">
        <w:t>there is</w:t>
      </w:r>
      <w:r w:rsidR="00C3689D">
        <w:t xml:space="preserve"> an indication </w:t>
      </w:r>
      <w:r w:rsidRPr="006C0BE6">
        <w:t xml:space="preserve">that Congress was </w:t>
      </w:r>
      <w:r w:rsidR="00C3689D">
        <w:t xml:space="preserve">well </w:t>
      </w:r>
      <w:r w:rsidRPr="006C0BE6">
        <w:t xml:space="preserve">aware of the issue.  Thus, it can be inferred that Congress acted purposefully and intentionally in omitting a timing requiring for the signed writing.  </w:t>
      </w:r>
    </w:p>
    <w:p w14:paraId="5E0C61E0" w14:textId="77777777" w:rsidR="006C0BE6" w:rsidRPr="006C0BE6" w:rsidRDefault="006C0BE6" w:rsidP="00825793">
      <w:pPr>
        <w:spacing w:line="480" w:lineRule="auto"/>
        <w:ind w:firstLine="720"/>
      </w:pPr>
      <w:r w:rsidRPr="006C0BE6">
        <w:t xml:space="preserve">Moreover, the legislative intent to not </w:t>
      </w:r>
      <w:r w:rsidR="00D57D26">
        <w:t xml:space="preserve">require </w:t>
      </w:r>
      <w:r w:rsidRPr="006C0BE6">
        <w:t xml:space="preserve">the signed writing precede the work-made-for-hire is further established by Congress’s repeated rejection of the proposed amendments to </w:t>
      </w:r>
      <w:r w:rsidR="0097456D">
        <w:t>the work-made-for-hire provision</w:t>
      </w:r>
      <w:r w:rsidRPr="006C0BE6">
        <w:t xml:space="preserve">. This is because </w:t>
      </w:r>
      <w:r w:rsidR="00CB1C25">
        <w:t xml:space="preserve">reliance </w:t>
      </w:r>
      <w:r w:rsidR="00D57D26">
        <w:t xml:space="preserve">on </w:t>
      </w:r>
      <w:r w:rsidRPr="006C0BE6">
        <w:t xml:space="preserve">rejected amendment proposals would vitiate the intent of </w:t>
      </w:r>
      <w:bookmarkStart w:id="78" w:name="Psych_Cite_177"/>
      <w:r w:rsidRPr="006C0BE6">
        <w:t>Congress</w:t>
      </w:r>
      <w:r w:rsidR="00825793">
        <w:t>.</w:t>
      </w:r>
      <w:r w:rsidR="00D57D26">
        <w:t xml:space="preserve"> </w:t>
      </w:r>
      <w:r w:rsidR="00825793" w:rsidRPr="00825793">
        <w:rPr>
          <w:i/>
        </w:rPr>
        <w:t>Food &amp; Drug Admin. v. Brown &amp; Williamson Tobacco Corp.</w:t>
      </w:r>
      <w:r w:rsidR="00825793">
        <w:t xml:space="preserve">, 529 U.S. 120, 144 </w:t>
      </w:r>
      <w:r w:rsidR="00825793" w:rsidRPr="00825793">
        <w:t>(U.S.N.C. 2000)</w:t>
      </w:r>
      <w:bookmarkEnd w:id="78"/>
      <w:r w:rsidR="00825793">
        <w:t>.</w:t>
      </w:r>
      <w:r w:rsidR="00CB1C25">
        <w:t xml:space="preserve"> As referenced above, i</w:t>
      </w:r>
      <w:r w:rsidRPr="006C0BE6">
        <w:t xml:space="preserve">n multiple sessions of Congress, Senator Thad Cochran submitted the proposal to amend </w:t>
      </w:r>
      <w:r w:rsidR="00CB1C25">
        <w:t xml:space="preserve">the work-made-for-hire provision to </w:t>
      </w:r>
      <w:r w:rsidRPr="006C0BE6">
        <w:t xml:space="preserve">require “the parties expressly agree in a written instrument signed by them prior to the commencement of any work” to create a work-made-for-hire. </w:t>
      </w:r>
      <w:proofErr w:type="gramStart"/>
      <w:r w:rsidR="002929E1">
        <w:t>101st Cong. 201</w:t>
      </w:r>
      <w:r w:rsidR="007339F9">
        <w:t>.</w:t>
      </w:r>
      <w:proofErr w:type="gramEnd"/>
      <w:r w:rsidR="007339F9">
        <w:t xml:space="preserve"> </w:t>
      </w:r>
      <w:r w:rsidRPr="006C0BE6">
        <w:t xml:space="preserve">Congress’s </w:t>
      </w:r>
      <w:r w:rsidRPr="006C0BE6">
        <w:lastRenderedPageBreak/>
        <w:t xml:space="preserve">rejection of the proposed amendment speaks clearly to its intent not to require the signed writing to precede the commencement of a work-made-for-hire.  </w:t>
      </w:r>
    </w:p>
    <w:p w14:paraId="1C13B268" w14:textId="77777777" w:rsidR="006C0BE6" w:rsidRPr="006C0BE6" w:rsidRDefault="00F0063F" w:rsidP="007339F9">
      <w:pPr>
        <w:spacing w:line="480" w:lineRule="auto"/>
        <w:ind w:firstLine="720"/>
      </w:pPr>
      <w:r>
        <w:t xml:space="preserve">Essentially, </w:t>
      </w:r>
      <w:r w:rsidR="00CB1C25">
        <w:t>though its</w:t>
      </w:r>
      <w:r w:rsidR="006C0BE6" w:rsidRPr="006C0BE6">
        <w:t xml:space="preserve"> legislative history may be unclea</w:t>
      </w:r>
      <w:r w:rsidR="00CB1C25">
        <w:t>r, the statutory history of the work-made-for-hire provision</w:t>
      </w:r>
      <w:r w:rsidR="006C0BE6" w:rsidRPr="006C0BE6">
        <w:t xml:space="preserve"> clearly indicates that it was not Congress’s intent to require the signed writing of a work-made-for-hire precede its commencement.  Therefore, if the Court finds that there is an ambiguity in the text and legislative intent is considered, the Court should </w:t>
      </w:r>
      <w:r w:rsidR="00D57D26">
        <w:t xml:space="preserve">still </w:t>
      </w:r>
      <w:r w:rsidR="006C0BE6" w:rsidRPr="006C0BE6">
        <w:t xml:space="preserve">rule that </w:t>
      </w:r>
      <w:r w:rsidR="00D010EF">
        <w:t xml:space="preserve">work-made-for-hire provision </w:t>
      </w:r>
      <w:r w:rsidR="006C0BE6" w:rsidRPr="006C0BE6">
        <w:t xml:space="preserve">does not require the signed writing precede the commencement </w:t>
      </w:r>
      <w:r w:rsidR="001837F5">
        <w:t>the</w:t>
      </w:r>
      <w:r w:rsidR="00D57D26">
        <w:t xml:space="preserve"> </w:t>
      </w:r>
      <w:r w:rsidR="006C0BE6" w:rsidRPr="006C0BE6">
        <w:t>work</w:t>
      </w:r>
      <w:r w:rsidR="001837F5">
        <w:t xml:space="preserve"> to</w:t>
      </w:r>
      <w:r w:rsidR="00D57D26">
        <w:t xml:space="preserve"> be </w:t>
      </w:r>
      <w:r w:rsidR="001837F5">
        <w:t xml:space="preserve">a </w:t>
      </w:r>
      <w:r w:rsidR="00D57D26">
        <w:t>valid</w:t>
      </w:r>
      <w:r w:rsidR="001837F5">
        <w:t xml:space="preserve"> work-made-for-hire</w:t>
      </w:r>
      <w:r w:rsidR="006C0BE6" w:rsidRPr="006C0BE6">
        <w:t>. As such, Plaintiff has a valid claim and Defendants’ motion to dismiss should ultimately be denied.</w:t>
      </w:r>
    </w:p>
    <w:p w14:paraId="3AB00611" w14:textId="77777777" w:rsidR="006C0BE6" w:rsidRPr="006C0BE6" w:rsidRDefault="006C0BE6" w:rsidP="00F61AF8">
      <w:pPr>
        <w:numPr>
          <w:ilvl w:val="0"/>
          <w:numId w:val="10"/>
        </w:numPr>
        <w:rPr>
          <w:b/>
          <w:u w:val="single"/>
        </w:rPr>
      </w:pPr>
      <w:r w:rsidRPr="006C0BE6">
        <w:rPr>
          <w:b/>
          <w:u w:val="single"/>
        </w:rPr>
        <w:t>Case Law Does Not Require the Written Agr</w:t>
      </w:r>
      <w:r w:rsidR="00E03EFC">
        <w:rPr>
          <w:b/>
          <w:u w:val="single"/>
        </w:rPr>
        <w:t>eement to Be Signed Before the Creation of a Work to be a V</w:t>
      </w:r>
      <w:r w:rsidRPr="006C0BE6">
        <w:rPr>
          <w:b/>
          <w:u w:val="single"/>
        </w:rPr>
        <w:t xml:space="preserve">alid </w:t>
      </w:r>
      <w:r w:rsidR="00E03EFC">
        <w:rPr>
          <w:b/>
          <w:u w:val="single"/>
        </w:rPr>
        <w:t>Work-Made-For-Hire</w:t>
      </w:r>
    </w:p>
    <w:p w14:paraId="0DE57C31" w14:textId="77777777" w:rsidR="006C0BE6" w:rsidRPr="006C0BE6" w:rsidRDefault="006C0BE6" w:rsidP="006C0BE6">
      <w:pPr>
        <w:rPr>
          <w:b/>
          <w:u w:val="single"/>
        </w:rPr>
      </w:pPr>
    </w:p>
    <w:p w14:paraId="37DA1840" w14:textId="77777777" w:rsidR="00DC0467" w:rsidRPr="00DC0467" w:rsidRDefault="00DC0467" w:rsidP="00DF68B7">
      <w:pPr>
        <w:spacing w:line="480" w:lineRule="auto"/>
        <w:ind w:firstLine="720"/>
      </w:pPr>
      <w:r w:rsidRPr="00DC0467">
        <w:t>The case law referencing the work-made-for-hire provision supports and clarifies that the work-made-for-hire provision does not require the signed writing to precede the commencement of the work to be valid.  Through application of textual interpretation and legislative intent, the courts ultimately arrive at the aforementioned assertion that the signed writing does not need to precede the commencement of the work-made-for-hire.</w:t>
      </w:r>
    </w:p>
    <w:p w14:paraId="44E12EC9" w14:textId="77777777" w:rsidR="00DC0467" w:rsidRPr="00DC0467" w:rsidRDefault="00DC0467" w:rsidP="00DF68B7">
      <w:pPr>
        <w:spacing w:line="480" w:lineRule="auto"/>
        <w:ind w:firstLine="720"/>
      </w:pPr>
      <w:r w:rsidRPr="00DC0467">
        <w:t xml:space="preserve">In regards to textual interpretation, in </w:t>
      </w:r>
      <w:r w:rsidRPr="00DC0467">
        <w:rPr>
          <w:i/>
        </w:rPr>
        <w:t>Playboy v. Dumas</w:t>
      </w:r>
      <w:r w:rsidRPr="00DC0467">
        <w:t xml:space="preserve"> the Second District Court holds that the language of the language of the provision does not attach a temporal requirement to the work-made-for-hire provision. The court ruled that the signed writing requirement “can be met by a writing executed after the work is created, if the writing confirms a prior agreement, either explicit or implicit, made before the creation of the work.” </w:t>
      </w:r>
      <w:proofErr w:type="gramStart"/>
      <w:r w:rsidRPr="00DC0467">
        <w:rPr>
          <w:i/>
        </w:rPr>
        <w:t>Playboy v. Dumas</w:t>
      </w:r>
      <w:r w:rsidRPr="00DC0467">
        <w:t xml:space="preserve">, </w:t>
      </w:r>
      <w:r w:rsidR="004D28CD">
        <w:t xml:space="preserve">at </w:t>
      </w:r>
      <w:r w:rsidRPr="00DC0467">
        <w:t>559.</w:t>
      </w:r>
      <w:proofErr w:type="gramEnd"/>
      <w:r w:rsidRPr="00DC0467">
        <w:t xml:space="preserve"> In the case before the Court, Defendant Lime not only understood and explicitly agreed to enter into a work-made-for-hire agreement, but also picked up her payment before signing the “Work-Made-For-</w:t>
      </w:r>
      <w:r w:rsidRPr="00DC0467">
        <w:lastRenderedPageBreak/>
        <w:t>Hire Agreement.”  Thus, as the signed writing merely confirmed the parties’ explicit agreement, it holds that it may come after the creation of the work.</w:t>
      </w:r>
    </w:p>
    <w:p w14:paraId="0DCC9F34" w14:textId="77777777" w:rsidR="00596D6B" w:rsidRDefault="00DC0467" w:rsidP="008916E3">
      <w:pPr>
        <w:spacing w:line="480" w:lineRule="auto"/>
        <w:ind w:firstLine="720"/>
      </w:pPr>
      <w:r w:rsidRPr="00DC0467">
        <w:t xml:space="preserve">The rationale seen in </w:t>
      </w:r>
      <w:r w:rsidRPr="00DC0467">
        <w:rPr>
          <w:i/>
        </w:rPr>
        <w:t xml:space="preserve">Playboy </w:t>
      </w:r>
      <w:r w:rsidRPr="00DC0467">
        <w:t xml:space="preserve">is also apparent in the holding of </w:t>
      </w:r>
      <w:r w:rsidRPr="00DC0467">
        <w:rPr>
          <w:i/>
        </w:rPr>
        <w:t xml:space="preserve">Compaq </w:t>
      </w:r>
      <w:r w:rsidR="00FC2F65">
        <w:rPr>
          <w:i/>
        </w:rPr>
        <w:t xml:space="preserve">v. </w:t>
      </w:r>
      <w:proofErr w:type="spellStart"/>
      <w:r w:rsidR="00FC2F65">
        <w:rPr>
          <w:i/>
        </w:rPr>
        <w:t>Ergonome</w:t>
      </w:r>
      <w:proofErr w:type="spellEnd"/>
      <w:r w:rsidRPr="00DC0467">
        <w:t xml:space="preserve">, where the court determined that the signing of the required writing after a photo shoot still created a valid work for hire agreement because, “it clearly evinces the parties’ intent.” </w:t>
      </w:r>
      <w:r w:rsidRPr="00DC0467">
        <w:rPr>
          <w:i/>
        </w:rPr>
        <w:t xml:space="preserve">Compaq </w:t>
      </w:r>
      <w:r w:rsidR="006645C1">
        <w:rPr>
          <w:i/>
        </w:rPr>
        <w:t xml:space="preserve">v. </w:t>
      </w:r>
      <w:proofErr w:type="spellStart"/>
      <w:r w:rsidR="006645C1">
        <w:rPr>
          <w:i/>
        </w:rPr>
        <w:t>Ergonome</w:t>
      </w:r>
      <w:proofErr w:type="spellEnd"/>
      <w:proofErr w:type="gramStart"/>
      <w:r w:rsidR="006645C1">
        <w:rPr>
          <w:i/>
        </w:rPr>
        <w:t>.</w:t>
      </w:r>
      <w:r w:rsidRPr="00DC0467">
        <w:t>,</w:t>
      </w:r>
      <w:proofErr w:type="gramEnd"/>
      <w:r w:rsidRPr="00DC0467">
        <w:t xml:space="preserve"> </w:t>
      </w:r>
      <w:r w:rsidR="00FC2F65">
        <w:t xml:space="preserve">at </w:t>
      </w:r>
      <w:r w:rsidRPr="00DC0467">
        <w:t xml:space="preserve">844.  As referenced in </w:t>
      </w:r>
      <w:r w:rsidRPr="00DC0467">
        <w:rPr>
          <w:i/>
        </w:rPr>
        <w:t>Playboy</w:t>
      </w:r>
      <w:r w:rsidRPr="00DC0467">
        <w:t xml:space="preserve">, this interpretation reflects the principle of effectuating the intent of the parties seen in contract law.  </w:t>
      </w:r>
      <w:proofErr w:type="gramStart"/>
      <w:r w:rsidRPr="00DC0467">
        <w:rPr>
          <w:i/>
        </w:rPr>
        <w:t>Playboy v. Dumas</w:t>
      </w:r>
      <w:r w:rsidRPr="00DC0467">
        <w:t xml:space="preserve"> 552.</w:t>
      </w:r>
      <w:proofErr w:type="gramEnd"/>
      <w:r w:rsidRPr="00DC0467">
        <w:t xml:space="preserve">  Similarly, in the case before the court, there was an explicit agreement for a work-made-for-hire contract that was recognized by both parties. The actions following creation of the oral agreement further demonstrate that both parties recognized the existence of a contract.  This is especially apparent in Defendant Lime’s action of picking up her payment once she had submitted the commissioned script. Ruling otherwise, as the Defendants contest, would not only vitiate the intent of the parties, </w:t>
      </w:r>
      <w:proofErr w:type="gramStart"/>
      <w:r w:rsidRPr="00DC0467">
        <w:t>but</w:t>
      </w:r>
      <w:proofErr w:type="gramEnd"/>
      <w:r w:rsidRPr="00DC0467">
        <w:t xml:space="preserve"> undermine the principle of effectuating the intent of parties seen in</w:t>
      </w:r>
      <w:r w:rsidR="001D0CB4">
        <w:t xml:space="preserve"> </w:t>
      </w:r>
      <w:r w:rsidRPr="00DC0467">
        <w:t xml:space="preserve">contract law.  Thus, the Court should rule that the parties created a valid work-made-for-hire by executing the signed writings after the creation of the work because it ultimately effectuates the intent of the parties’.  </w:t>
      </w:r>
    </w:p>
    <w:p w14:paraId="7E043A9F" w14:textId="77777777" w:rsidR="008D5DFB" w:rsidRDefault="00596D6B" w:rsidP="008D5DFB">
      <w:pPr>
        <w:spacing w:line="480" w:lineRule="auto"/>
        <w:ind w:firstLine="720"/>
      </w:pPr>
      <w:r w:rsidRPr="00DC0467">
        <w:t xml:space="preserve">Citing </w:t>
      </w:r>
      <w:r w:rsidRPr="00DC0467">
        <w:rPr>
          <w:i/>
        </w:rPr>
        <w:t xml:space="preserve">Schiller &amp; Schmidt, Inc. v. </w:t>
      </w:r>
      <w:proofErr w:type="spellStart"/>
      <w:r w:rsidRPr="00DC0467">
        <w:rPr>
          <w:i/>
        </w:rPr>
        <w:t>Nordisco</w:t>
      </w:r>
      <w:proofErr w:type="spellEnd"/>
      <w:r w:rsidRPr="00DC0467">
        <w:rPr>
          <w:i/>
        </w:rPr>
        <w:t xml:space="preserve"> Corp</w:t>
      </w:r>
      <w:r w:rsidRPr="00DC0467">
        <w:t xml:space="preserve">, the Defendants will argue that “signed by them,” plainly means “by both parties” before the creation of a work. </w:t>
      </w:r>
      <w:bookmarkStart w:id="79" w:name="Psych_Cite_178"/>
      <w:r w:rsidRPr="00DC0467">
        <w:rPr>
          <w:i/>
          <w:iCs/>
        </w:rPr>
        <w:t xml:space="preserve">Schiller &amp; Schmidt, Inc. v. </w:t>
      </w:r>
      <w:proofErr w:type="spellStart"/>
      <w:r w:rsidRPr="00DC0467">
        <w:rPr>
          <w:i/>
          <w:iCs/>
        </w:rPr>
        <w:t>Nordisco</w:t>
      </w:r>
      <w:proofErr w:type="spellEnd"/>
      <w:r w:rsidRPr="00DC0467">
        <w:rPr>
          <w:i/>
          <w:iCs/>
        </w:rPr>
        <w:t xml:space="preserve"> Corp.</w:t>
      </w:r>
      <w:r w:rsidRPr="00DC0467">
        <w:rPr>
          <w:iCs/>
        </w:rPr>
        <w:t>,</w:t>
      </w:r>
      <w:r w:rsidRPr="00DC0467">
        <w:t xml:space="preserve"> 9</w:t>
      </w:r>
      <w:r w:rsidR="00A4471D">
        <w:t>69 F.2d 410, 412 (7th Cir.1992)</w:t>
      </w:r>
      <w:bookmarkEnd w:id="79"/>
      <w:r w:rsidRPr="00DC0467">
        <w:t xml:space="preserve">. Yet, </w:t>
      </w:r>
      <w:r>
        <w:t>applying a negative inference, the term “signed by them” can</w:t>
      </w:r>
      <w:r w:rsidRPr="00DC0467">
        <w:t xml:space="preserve">not attach an express temporal assignment. Though it indicates that it must be signed by both parties, it never indicates </w:t>
      </w:r>
      <w:r w:rsidRPr="00DC0467">
        <w:rPr>
          <w:i/>
        </w:rPr>
        <w:t>when</w:t>
      </w:r>
      <w:r w:rsidRPr="00DC0467">
        <w:t xml:space="preserve"> it must be signed by both parties, or even if it the two parties must sign it together.  </w:t>
      </w:r>
      <w:r w:rsidR="00DC0467" w:rsidRPr="00DC0467">
        <w:t xml:space="preserve">Moreover, </w:t>
      </w:r>
      <w:r>
        <w:t>t</w:t>
      </w:r>
      <w:r w:rsidR="00DC0467" w:rsidRPr="00DC0467">
        <w:t xml:space="preserve">he ruling in </w:t>
      </w:r>
      <w:r w:rsidR="00DC0467" w:rsidRPr="00DC0467">
        <w:rPr>
          <w:i/>
        </w:rPr>
        <w:t>Schiller</w:t>
      </w:r>
      <w:r>
        <w:t xml:space="preserve"> is further discounted as the </w:t>
      </w:r>
      <w:r w:rsidR="00DC0467" w:rsidRPr="00DC0467">
        <w:t xml:space="preserve">court’s </w:t>
      </w:r>
      <w:r>
        <w:t>contention over</w:t>
      </w:r>
      <w:r w:rsidR="00DC0467" w:rsidRPr="00DC0467">
        <w:t xml:space="preserve"> timing is mere dicta</w:t>
      </w:r>
      <w:r>
        <w:t xml:space="preserve">.  This is because </w:t>
      </w:r>
      <w:r w:rsidR="00DC0467" w:rsidRPr="00DC0467">
        <w:t xml:space="preserve">it is essentially not the timing that </w:t>
      </w:r>
      <w:r w:rsidR="00DC0467" w:rsidRPr="00DC0467">
        <w:lastRenderedPageBreak/>
        <w:t xml:space="preserve">dooms the signed writing, but the failure to sign that does. This is because the primary issue in the case centers not on the timing of the signatures, but on the fact that it was </w:t>
      </w:r>
      <w:r w:rsidR="00DC0467" w:rsidRPr="00DC0467">
        <w:rPr>
          <w:i/>
        </w:rPr>
        <w:t>not</w:t>
      </w:r>
      <w:r w:rsidR="00A4471D">
        <w:t xml:space="preserve"> signed by both parties. </w:t>
      </w:r>
      <w:bookmarkStart w:id="80" w:name="Psych_Cite_291"/>
      <w:proofErr w:type="gramStart"/>
      <w:r w:rsidR="00DC0467" w:rsidRPr="00DC0467">
        <w:rPr>
          <w:i/>
        </w:rPr>
        <w:t>Id</w:t>
      </w:r>
      <w:r w:rsidR="00A4471D">
        <w:t>.</w:t>
      </w:r>
      <w:r w:rsidR="00DC0467" w:rsidRPr="00DC0467">
        <w:t xml:space="preserve"> </w:t>
      </w:r>
      <w:r>
        <w:t xml:space="preserve">at </w:t>
      </w:r>
      <w:r w:rsidR="00DC0467" w:rsidRPr="00DC0467">
        <w:t>416</w:t>
      </w:r>
      <w:bookmarkEnd w:id="80"/>
      <w:r w:rsidR="00DC0467" w:rsidRPr="00DC0467">
        <w:t>.</w:t>
      </w:r>
      <w:proofErr w:type="gramEnd"/>
      <w:r w:rsidR="00DC0467" w:rsidRPr="00DC0467">
        <w:t xml:space="preserve">  In contrast, in the case before the Court, there not only exists a signed writing, but a signed writing that effectuates the intent of </w:t>
      </w:r>
      <w:r w:rsidR="00767BA4">
        <w:t xml:space="preserve">both </w:t>
      </w:r>
      <w:r w:rsidR="00DC0467" w:rsidRPr="00DC0467">
        <w:t>the parties.  Thus, in the case before the Court, in line with the present case law, the Court should rule Plaintiff did establish a valid work-made-for-hire because the signed writing required by the work-made-for-hire provision can be executed after the creation of the work.</w:t>
      </w:r>
    </w:p>
    <w:p w14:paraId="0349D077" w14:textId="77777777" w:rsidR="006C0BE6" w:rsidRDefault="006C0BE6" w:rsidP="008D5DFB">
      <w:pPr>
        <w:spacing w:line="480" w:lineRule="auto"/>
        <w:jc w:val="center"/>
        <w:rPr>
          <w:b/>
          <w:u w:val="single"/>
        </w:rPr>
      </w:pPr>
      <w:r w:rsidRPr="006C0BE6">
        <w:rPr>
          <w:b/>
          <w:u w:val="single"/>
        </w:rPr>
        <w:t>CONCLUSION</w:t>
      </w:r>
    </w:p>
    <w:p w14:paraId="41CF0B85" w14:textId="77777777" w:rsidR="006C0BE6" w:rsidRPr="006C0BE6" w:rsidRDefault="001E3F28" w:rsidP="00D57D26">
      <w:pPr>
        <w:spacing w:line="480" w:lineRule="auto"/>
        <w:ind w:firstLine="720"/>
      </w:pPr>
      <w:r>
        <w:t xml:space="preserve">Based on the application of textual interpretation, legislative history and case law </w:t>
      </w:r>
      <w:r w:rsidR="006C0BE6" w:rsidRPr="006C0BE6">
        <w:t xml:space="preserve">of the </w:t>
      </w:r>
      <w:r>
        <w:t xml:space="preserve">work-made-for-hire provision of the </w:t>
      </w:r>
      <w:r w:rsidR="006C0BE6" w:rsidRPr="006C0BE6">
        <w:t>Copyright Act</w:t>
      </w:r>
      <w:r>
        <w:t xml:space="preserve"> of 1976</w:t>
      </w:r>
      <w:r w:rsidR="006C0BE6" w:rsidRPr="006C0BE6">
        <w:t xml:space="preserve">, </w:t>
      </w:r>
      <w:r>
        <w:t xml:space="preserve">the Court should </w:t>
      </w:r>
      <w:r w:rsidR="006C0BE6" w:rsidRPr="006C0BE6">
        <w:t>c</w:t>
      </w:r>
      <w:r w:rsidR="001A5528">
        <w:t>onclude</w:t>
      </w:r>
      <w:r w:rsidR="006C0BE6" w:rsidRPr="006C0BE6">
        <w:t xml:space="preserve"> that the signed writing required for a work-made-for-hire does not need to be signed </w:t>
      </w:r>
      <w:r w:rsidR="00394243">
        <w:t>preceding the work’s commencement.</w:t>
      </w:r>
      <w:r w:rsidR="00EC3AED">
        <w:t xml:space="preserve"> </w:t>
      </w:r>
      <w:r w:rsidR="006C0BE6" w:rsidRPr="006C0BE6">
        <w:t xml:space="preserve">Thus, for all of the reasons stated above, the Court </w:t>
      </w:r>
      <w:r w:rsidR="00B022AF">
        <w:t>should rule that that Plaintiff has established a valid claim based on the ability to create a work-made-for-hire by executing a signed writing after the creation of a work</w:t>
      </w:r>
      <w:r w:rsidR="006C0BE6" w:rsidRPr="006C0BE6">
        <w:t>.</w:t>
      </w:r>
    </w:p>
    <w:p w14:paraId="3EF9C031" w14:textId="77777777" w:rsidR="00AA787C" w:rsidRDefault="00AA787C"/>
    <w:p w14:paraId="0E4EDE3D" w14:textId="77777777" w:rsidR="00D55348" w:rsidRDefault="00D55348"/>
    <w:p w14:paraId="02B073C0" w14:textId="77777777" w:rsidR="00D55348" w:rsidRDefault="00D55348"/>
    <w:p w14:paraId="465538F5" w14:textId="77777777" w:rsidR="00D55348" w:rsidRDefault="00D55348"/>
    <w:p w14:paraId="4E76EF4A" w14:textId="77777777" w:rsidR="00D55348" w:rsidRDefault="00D55348">
      <w:r>
        <w:t>Dated: March 1, 2012</w:t>
      </w:r>
      <w:r>
        <w:tab/>
      </w:r>
      <w:r>
        <w:tab/>
      </w:r>
      <w:r>
        <w:tab/>
      </w:r>
      <w:r>
        <w:tab/>
      </w:r>
      <w:r>
        <w:tab/>
      </w:r>
      <w:r>
        <w:tab/>
        <w:t>Respectfully Submitted</w:t>
      </w:r>
    </w:p>
    <w:p w14:paraId="43C6C406" w14:textId="77777777" w:rsidR="005464E4" w:rsidRDefault="005464E4"/>
    <w:p w14:paraId="3B5AE15D" w14:textId="77777777" w:rsidR="00284056" w:rsidRDefault="005464E4" w:rsidP="00BE6658">
      <w:r>
        <w:tab/>
      </w:r>
      <w:r>
        <w:tab/>
      </w:r>
      <w:r>
        <w:tab/>
      </w:r>
      <w:r>
        <w:tab/>
      </w:r>
      <w:r>
        <w:tab/>
      </w:r>
      <w:r>
        <w:tab/>
      </w:r>
      <w:r>
        <w:tab/>
      </w:r>
      <w:r>
        <w:tab/>
      </w:r>
      <w:r w:rsidR="00BE6658">
        <w:rPr>
          <w:rFonts w:eastAsia="Times New Roman"/>
        </w:rPr>
        <w:t>&lt;redacted&gt;&lt;/redacted&gt;</w:t>
      </w:r>
      <w:bookmarkStart w:id="81" w:name="_GoBack"/>
      <w:bookmarkEnd w:id="81"/>
    </w:p>
    <w:p w14:paraId="288475B1" w14:textId="77777777" w:rsidR="00284056" w:rsidRDefault="00284056" w:rsidP="005464E4">
      <w:r>
        <w:tab/>
      </w:r>
      <w:r>
        <w:tab/>
      </w:r>
      <w:r>
        <w:tab/>
      </w:r>
      <w:r>
        <w:tab/>
      </w:r>
      <w:r>
        <w:tab/>
      </w:r>
      <w:r>
        <w:tab/>
      </w:r>
      <w:r>
        <w:tab/>
      </w:r>
      <w:r>
        <w:tab/>
      </w:r>
    </w:p>
    <w:p w14:paraId="7CA3D705" w14:textId="77777777" w:rsidR="005464E4" w:rsidRDefault="00284056" w:rsidP="005464E4">
      <w:r>
        <w:tab/>
      </w:r>
      <w:r>
        <w:tab/>
      </w:r>
      <w:r>
        <w:tab/>
      </w:r>
      <w:r>
        <w:tab/>
      </w:r>
      <w:r>
        <w:tab/>
      </w:r>
      <w:r>
        <w:tab/>
      </w:r>
      <w:r>
        <w:tab/>
      </w:r>
      <w:r>
        <w:tab/>
        <w:t>Attorney for Plaintiff</w:t>
      </w:r>
      <w:r w:rsidR="005464E4">
        <w:tab/>
      </w:r>
      <w:r w:rsidR="005464E4">
        <w:tab/>
      </w:r>
      <w:r w:rsidR="005464E4">
        <w:tab/>
      </w:r>
      <w:r w:rsidR="005464E4">
        <w:tab/>
      </w:r>
    </w:p>
    <w:sectPr w:rsidR="005464E4" w:rsidSect="006C0BE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40DB2B" w14:textId="77777777" w:rsidR="0029253D" w:rsidRDefault="0029253D" w:rsidP="006C0BE6">
      <w:r>
        <w:separator/>
      </w:r>
    </w:p>
  </w:endnote>
  <w:endnote w:type="continuationSeparator" w:id="0">
    <w:p w14:paraId="2EFDD3A6" w14:textId="77777777" w:rsidR="0029253D" w:rsidRDefault="0029253D" w:rsidP="006C0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7CE536" w14:textId="77777777" w:rsidR="0029253D" w:rsidRDefault="0029253D" w:rsidP="006C0BE6">
      <w:r>
        <w:separator/>
      </w:r>
    </w:p>
  </w:footnote>
  <w:footnote w:type="continuationSeparator" w:id="0">
    <w:p w14:paraId="50B555CD" w14:textId="77777777" w:rsidR="0029253D" w:rsidRDefault="0029253D" w:rsidP="006C0BE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5689887"/>
      <w:docPartObj>
        <w:docPartGallery w:val="Page Numbers (Top of Page)"/>
        <w:docPartUnique/>
      </w:docPartObj>
    </w:sdtPr>
    <w:sdtEndPr>
      <w:rPr>
        <w:noProof/>
      </w:rPr>
    </w:sdtEndPr>
    <w:sdtContent>
      <w:p w14:paraId="45837BFF" w14:textId="77777777" w:rsidR="008B533D" w:rsidRDefault="008B533D">
        <w:pPr>
          <w:pStyle w:val="Header"/>
          <w:jc w:val="right"/>
        </w:pPr>
        <w:r>
          <w:fldChar w:fldCharType="begin"/>
        </w:r>
        <w:r>
          <w:instrText xml:space="preserve"> PAGE   \* MERGEFORMAT </w:instrText>
        </w:r>
        <w:r>
          <w:fldChar w:fldCharType="separate"/>
        </w:r>
        <w:r w:rsidR="00BE6658">
          <w:rPr>
            <w:noProof/>
          </w:rPr>
          <w:t>15</w:t>
        </w:r>
        <w:r>
          <w:rPr>
            <w:noProof/>
          </w:rPr>
          <w:fldChar w:fldCharType="end"/>
        </w:r>
      </w:p>
    </w:sdtContent>
  </w:sdt>
  <w:p w14:paraId="6038C492" w14:textId="77777777" w:rsidR="008B533D" w:rsidRDefault="008B533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A7E1F"/>
    <w:multiLevelType w:val="hybridMultilevel"/>
    <w:tmpl w:val="661E20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31287E22"/>
    <w:multiLevelType w:val="hybridMultilevel"/>
    <w:tmpl w:val="8A7401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2AC2A6B"/>
    <w:multiLevelType w:val="hybridMultilevel"/>
    <w:tmpl w:val="4DAE6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732D3E"/>
    <w:multiLevelType w:val="hybridMultilevel"/>
    <w:tmpl w:val="4C7698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0C4343A"/>
    <w:multiLevelType w:val="multilevel"/>
    <w:tmpl w:val="AF3E5F78"/>
    <w:lvl w:ilvl="0">
      <w:start w:val="1"/>
      <w:numFmt w:val="upperRoman"/>
      <w:lvlText w:val="%1."/>
      <w:lvlJc w:val="righ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i w:val="0"/>
      </w:rPr>
    </w:lvl>
    <w:lvl w:ilvl="5">
      <w:start w:val="1"/>
      <w:numFmt w:val="upp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66AC20D7"/>
    <w:multiLevelType w:val="hybridMultilevel"/>
    <w:tmpl w:val="0930C4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8C23157"/>
    <w:multiLevelType w:val="hybridMultilevel"/>
    <w:tmpl w:val="417829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7058279D"/>
    <w:multiLevelType w:val="multilevel"/>
    <w:tmpl w:val="AF3E5F78"/>
    <w:lvl w:ilvl="0">
      <w:start w:val="1"/>
      <w:numFmt w:val="upperRoman"/>
      <w:lvlText w:val="%1."/>
      <w:lvlJc w:val="righ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i w:val="0"/>
      </w:rPr>
    </w:lvl>
    <w:lvl w:ilvl="5">
      <w:start w:val="1"/>
      <w:numFmt w:val="upp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749F4933"/>
    <w:multiLevelType w:val="multilevel"/>
    <w:tmpl w:val="AF3E5F78"/>
    <w:lvl w:ilvl="0">
      <w:start w:val="1"/>
      <w:numFmt w:val="upperRoman"/>
      <w:lvlText w:val="%1."/>
      <w:lvlJc w:val="righ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i w:val="0"/>
      </w:rPr>
    </w:lvl>
    <w:lvl w:ilvl="5">
      <w:start w:val="1"/>
      <w:numFmt w:val="upp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76FA30CE"/>
    <w:multiLevelType w:val="multilevel"/>
    <w:tmpl w:val="AF3E5F78"/>
    <w:lvl w:ilvl="0">
      <w:start w:val="1"/>
      <w:numFmt w:val="upperRoman"/>
      <w:lvlText w:val="%1."/>
      <w:lvlJc w:val="righ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i w:val="0"/>
      </w:rPr>
    </w:lvl>
    <w:lvl w:ilvl="5">
      <w:start w:val="1"/>
      <w:numFmt w:val="upp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7"/>
  </w:num>
  <w:num w:numId="2">
    <w:abstractNumId w:val="3"/>
  </w:num>
  <w:num w:numId="3">
    <w:abstractNumId w:val="5"/>
  </w:num>
  <w:num w:numId="4">
    <w:abstractNumId w:val="2"/>
  </w:num>
  <w:num w:numId="5">
    <w:abstractNumId w:val="9"/>
  </w:num>
  <w:num w:numId="6">
    <w:abstractNumId w:val="8"/>
  </w:num>
  <w:num w:numId="7">
    <w:abstractNumId w:val="6"/>
  </w:num>
  <w:num w:numId="8">
    <w:abstractNumId w:val="0"/>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CITRUS_CORRECTED_CITE" w:val="Exxon Mobil Corp. v. Allapattah Servs., Inc., 545 U.S. 546, 568 (2005)"/>
    <w:docVar w:name="_CITRUS_JURISDICTION" w:val="Bluebook"/>
    <w:docVar w:name="CITRUS_BOOKMARK1[0]" w:val="&lt;#1&gt;&lt;citation&gt;&lt;citation._original_string&gt;Cmty. for Creative Non-Violence v. Reid, 490 U.S. 730, 738 (1989)&lt;/citation._original_string&gt;&lt;citation._current_string&gt;Cmty. for Creative Non-Violence v. Reid, 490 U.S. 730, 738 (1989)&lt;/citation._current_string&gt;&lt;citation._full_string&gt;Cmty. for Creative Non-Violence v. Reid, 490 U.S. 730, 738 (1989)&lt;/citation._full_string&gt;&lt;citation._current_format&gt;Full.CaseCitation&lt;/citation._current_format&gt;&lt;citation.name&gt;&lt;/citation.name&gt;&lt;citation.key0&gt;,&lt;/citation.key0&gt;&lt;citation.value0&gt;,&lt;/citation.value0&gt;&lt;citation.key1&gt;CaseName.FirstParty.Party&lt;/citation.key1&gt;&lt;citation.value1&gt;Community for Creative Non-Violence&lt;/citation.value1&gt;&lt;citation.key2&gt;CaseName.FirstParty._Pattern&lt;/citation.key2&gt;&lt;citation.value2&gt;Party.Party&lt;/citation.value2&gt;&lt;citation.key3&gt;CaseName.SecondParty.Party&lt;/citation.key3&gt;&lt;citation.value3&gt;Reid&lt;/citation.value3&gt;&lt;citation.key4&gt;CaseName.SecondParty._Pattern&lt;/citation.key4&gt;&lt;citation.value4&gt;Party.Party&lt;/citation.value4&gt;&lt;citation.key5&gt;CourtParenthetical&lt;/citation.key5&gt;&lt;citation.value5&gt; (1989) &lt;/citation.value5&gt;&lt;citation.key6&gt;CourtParenthetical.Date.Year.Year&lt;/citation.key6&gt;&lt;citation.value6&gt;1989&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Cmty. for Creative Non-Violence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90 U.S. 730, 738&lt;/citation.value23&gt;&lt;citation.key24&gt;Reporter.FirstPage&lt;/citation.key24&gt;&lt;citation.value24&gt;730&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90&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738&lt;/citation.value33&gt;&lt;citation.key34&gt;Reporter.__PinPages.First&lt;/citation.key34&gt;&lt;citation.value34&gt;738&lt;/citation.value34&gt;&lt;citation.key35&gt;Reporter.__PinPages.First._Pattern&lt;/citation.key35&gt;&lt;citation.value35&gt;FirstPageInRange.FirstPageInRange&lt;/citation.value35&gt;&lt;citation.key36&gt;Reporter.__PinPages.First.__PageNumber&lt;/citation.key36&gt;&lt;citation.value36&gt;738&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Reid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1000000009[0]" w:val="17 U.S.C. §101(2)"/>
    <w:docVar w:name="CITRUS_BOOKMARK1000000010[0]" w:val="17 U.S.C. §204"/>
    <w:docVar w:name="CITRUS_BOOKMARK1000000012[0]" w:val="Billy-Bob Teeth, Inc. v. Novelty, Inc., 329 F.3d 586, 591 (7th Cir.2003)"/>
    <w:docVar w:name="CITRUS_BOOKMARK11[0]" w:val="&lt;#1&gt;&lt;citation&gt;&lt;citation._original_string&gt;17 U.S.C. § 204(a)&lt;/citation._original_string&gt;&lt;citation._current_string&gt;17 U.S.C. § 204(a)&lt;/citation._current_string&gt;&lt;citation._full_string&gt;17 U.S.C. §204(a)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4(a)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4(a)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4(a) &lt;/citation.value13&gt;&lt;citation.key14&gt;USCCodeCitation.__SectionOrSections.SectionNumberList.SectionNumberScalarOrRange&lt;/citation.key14&gt;&lt;citation.value14&gt;204(a) &lt;/citation.value14&gt;&lt;citation.key15&gt;USCCodeCitation.__SectionOrSections.SectionNumberList.SectionNumberScalarOrRange.SectionNumber&lt;/citation.key15&gt;&lt;citation.value15&gt;204(a)&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3[0]" w:val="&lt;#1&gt;&lt;citation&gt;&lt;citation._original_string&gt;Kawasaki Kisen Kaisha Ltd. v. Regal-Beloit Corp., 130 S. Ct. 2433, 2447 (2010)&lt;/citation._original_string&gt;&lt;citation._current_string&gt;Kawasaki Kisen Kaisha Ltd. v. Regal-Beloit Corp., 130 S. Ct. 2433, 2447 (2010)&lt;/citation._current_string&gt;&lt;citation._full_string&gt;Kawasaki Kisen Kaisha Ltd. v. Regal-Beloit Corp., 130 S. Ct. 2433, 2447 (2010)&lt;/citation._full_string&gt;&lt;citation._current_format&gt;Full.CaseCitation&lt;/citation._current_format&gt;&lt;citation.name&gt;&lt;/citation.name&gt;&lt;citation.key0&gt;,&lt;/citation.key0&gt;&lt;citation.value0&gt;,&lt;/citation.value0&gt;&lt;citation.key1&gt;CaseName.FirstParty&lt;/citation.key1&gt;&lt;citation.value1&gt;Kawasaki Kisen Kaisha Ltd.&lt;/citation.value1&gt;&lt;citation.key2&gt;CaseName.FirstParty.Party&lt;/citation.key2&gt;&lt;citation.value2&gt;Kawasaki Kisen Kaisha Ltd.&lt;/citation.value2&gt;&lt;citation.key3&gt;CaseName.FirstParty._Pattern&lt;/citation.key3&gt;&lt;citation.value3&gt;Party.Party&lt;/citation.value3&gt;&lt;citation.key4&gt;CaseName.SecondParty&lt;/citation.key4&gt;&lt;citation.value4&gt;Regal-Beloit Corp.&lt;/citation.value4&gt;&lt;citation.key5&gt;CaseName.SecondParty.Party&lt;/citation.key5&gt;&lt;citation.value5&gt;Regal-Beloit Corp.&lt;/citation.value5&gt;&lt;citation.key6&gt;CaseName.SecondParty._Pattern&lt;/citation.key6&gt;&lt;citation.value6&gt;Party.Party&lt;/citation.value6&gt;&lt;citation.key7&gt;CaseName._Pattern&lt;/citation.key7&gt;&lt;citation.value7&gt;&lt;/citation.value7&gt;&lt;citation.key8&gt;CourtParenthetical&lt;/citation.key8&gt;&lt;citation.value8&gt; (2010) &lt;/citation.value8&gt;&lt;citation.key9&gt;CourtParenthetical.Date.Year&lt;/citation.key9&gt;&lt;citation.value9&gt;2010&lt;/citation.value9&gt;&lt;citation.key10&gt;CourtParenthetical.Date.Year.Year&lt;/citation.key10&gt;&lt;citation.value10&gt;2010&lt;/citation.value10&gt;&lt;citation.key11&gt;CourtParenthetical.Date.Year._Pattern&lt;/citation.key11&gt;&lt;citation.value11&gt;CourtParenthetical.Date.Year.Year&lt;/citation.value11&gt;&lt;citation.key12&gt;CourtParenthetical.Date._Pattern&lt;/citation.key12&gt;&lt;citation.value12&gt;CourtParenthetical.Date.Date&lt;/citation.value12&gt;&lt;citation.key13&gt;CourtParenthetical.ForbiddenComma._Pattern&lt;/citation.key13&gt;&lt;citation.value13&gt;ForbiddenComma.ForbiddenComma&lt;/citation.value13&gt;&lt;citation.key14&gt;CourtParenthetical.Switch ( [ L&lt;/citation.key14&gt;&lt;citation.value14&gt; (&lt;/citation.value14&gt;&lt;citation.key15&gt;CourtParenthetical.Switch ( [ L.(&lt;/citation.key15&gt;&lt;citation.value15&gt;(&lt;/citation.value15&gt;&lt;citation.key16&gt;CourtParenthetical.Switch ( [ L._Pattern&lt;/citation.key16&gt;&lt;citation.value16&gt;Switch ( [ L.Switch ( [ L&lt;/citation.value16&gt;&lt;citation.key17&gt;CourtParenthetical.Switch ) ] R&lt;/citation.key17&gt;&lt;citation.value17&gt;) &lt;/citation.value17&gt;&lt;citation.key18&gt;CourtParenthetical.Switch ) ] R.)&lt;/citation.key18&gt;&lt;citation.value18&gt;)&lt;/citation.value18&gt;&lt;citation.key19&gt;CourtParenthetical.Switch ) ] R._Pattern&lt;/citation.key19&gt;&lt;citation.value19&gt;Switch ) ] R.Switch ) ] R&lt;/citation.value19&gt;&lt;citation.key20&gt;CourtParenthetical._Pattern&lt;/citation.key20&gt;&lt;citation.value20&gt;CourtParenthetical.CourtParenthetical&lt;/citation.value20&gt;&lt;citation.key21&gt;HAS_AUTHORITATIVE_DATA&lt;/citation.key21&gt;&lt;citation.value21&gt;YES&lt;/citation.value21&gt;&lt;citation.key22&gt;Id&lt;/citation.key22&gt;&lt;citation.value22&gt;Id. &lt;/citation.value22&gt;&lt;citation.key23&gt;Id.Id&lt;/citation.key23&gt;&lt;citation.value23&gt;Id.&lt;/citation.value23&gt;&lt;citation.key24&gt;Id._Pattern&lt;/citation.key24&gt;&lt;citation.value24&gt;IdGraph.IdGraph&lt;/citation.value24&gt;&lt;citation.key25&gt;NY L Paren&lt;/citation.key25&gt;&lt;citation.value25&gt;(&lt;/citation.value25&gt;&lt;citation.key26&gt;NY R Paren&lt;/citation.key26&gt;&lt;citation.value26&gt;)&lt;/citation.value26&gt;&lt;citation.key27&gt;Reporter&lt;/citation.key27&gt;&lt;citation.value27&gt;130 S. Ct. 2433, 2447&lt;/citation.value27&gt;&lt;citation.key28&gt;Reporter.FirstPage&lt;/citation.key28&gt;&lt;citation.value28&gt;2433&lt;/citation.value28&gt;&lt;citation.key29&gt;Reporter.Name&lt;/citation.key29&gt;&lt;citation.value29&gt;S. Ct.&lt;/citation.value29&gt;&lt;citation.key30&gt;Reporter.RequiredComma&lt;/citation.key30&gt;&lt;citation.value30&gt;, &lt;/citation.value30&gt;&lt;citation.key31&gt;Reporter.RequiredComma.Comma&lt;/citation.key31&gt;&lt;citation.value31&gt;,&lt;/citation.value31&gt;&lt;citation.key32&gt;Reporter.RequiredComma._Pattern&lt;/citation.key32&gt;&lt;citation.value32&gt;RequiredComma.RequiredComma&lt;/citation.value32&gt;&lt;citation.key33&gt;Reporter.Volume&lt;/citation.key33&gt;&lt;citation.value33&gt;130&lt;/citation.value33&gt;&lt;citation.key34&gt;Reporter.[&lt;/citation.key34&gt;&lt;citation.value34&gt;[&lt;/citation.value34&gt;&lt;citation.key35&gt;Reporter.]&lt;/citation.key35&gt;&lt;citation.value35&gt;]&lt;/citation.value35&gt;&lt;citation.key36&gt;Reporter._Pattern&lt;/citation.key36&gt;&lt;citation.value36&gt;Reporter.Reporter&lt;/citation.value36&gt;&lt;citation.key37&gt;Reporter.__PinPages&lt;/citation.key37&gt;&lt;citation.value37&gt;2447&lt;/citation.value37&gt;&lt;citation.key38&gt;Reporter.__PinPages.First&lt;/citation.key38&gt;&lt;citation.value38&gt;2447&lt;/citation.value38&gt;&lt;citation.key39&gt;Reporter.__PinPages.First._Pattern&lt;/citation.key39&gt;&lt;citation.value39&gt;FirstPageInRange.FirstPageInRange&lt;/citation.value39&gt;&lt;citation.key40&gt;Reporter.__PinPages.First.__PageNumber&lt;/citation.key40&gt;&lt;citation.value40&gt;2447&lt;/citation.value40&gt;&lt;citation.key41&gt;Reporter.__PinPages._Pattern&lt;/citation.key41&gt;&lt;citation.value41&gt;PinPages.PinPages&lt;/citation.value41&gt;&lt;citation.key42&gt;Reporter.page&lt;/citation.key42&gt;&lt;citation.value42&gt;page&lt;/citation.value42&gt;&lt;citation.key43&gt;RequiredComma&lt;/citation.key43&gt;&lt;citation.value43&gt;, &lt;/citation.value43&gt;&lt;citation.key44&gt;RequiredComma._Pattern&lt;/citation.key44&gt;&lt;citation.value44&gt;RequiredComma.RequiredComma&lt;/citation.value44&gt;&lt;citation.key45&gt;supra&lt;/citation.key45&gt;&lt;citation.value45&gt;&lt;/citation.value45&gt;&lt;citation.key46&gt;supra.,&lt;/citation.key46&gt;&lt;citation.value46&gt;, &lt;/citation.value46&gt;&lt;citation.key47&gt;supra._Pattern&lt;/citation.key47&gt;&lt;citation.value47&gt;ShortCaseSupra.ShortCaseSupra&lt;/citation.value47&gt;&lt;citation.key48&gt;supra.supra&lt;/citation.key48&gt;&lt;citation.value48&gt;supra&lt;/citation.value48&gt;&lt;/citation&gt;_x000a_"/>
    <w:docVar w:name="CITRUS_BOOKMARK14[0]" w:val="&lt;#1&gt;&lt;citation&gt;&lt;citation._original_string&gt;Green v. Bock Laundry Mach. Co., 490 U.S. 504, 521-22 (1989)&lt;/citation._original_string&gt;&lt;citation._current_string&gt;Green v. Bock Laundry Mach. Co., 490 U.S. 504, 521-22 (1989)&lt;/citation._current_string&gt;&lt;citation._full_string&gt;Green v. Bock Laundry Mach. Co., 490 U.S. 504, 521-22 (1989)&lt;/citation._full_string&gt;&lt;citation._current_format&gt;Full.CaseCitation&lt;/citation._current_format&gt;&lt;citation.name&gt;&lt;/citation.name&gt;&lt;citation.key0&gt;,&lt;/citation.key0&gt;&lt;citation.value0&gt;,&lt;/citation.value0&gt;&lt;citation.key1&gt;CaseName.FirstParty.Party&lt;/citation.key1&gt;&lt;citation.value1&gt;Green&lt;/citation.value1&gt;&lt;citation.key2&gt;CaseName.FirstParty._Pattern&lt;/citation.key2&gt;&lt;citation.value2&gt;Party.Party&lt;/citation.value2&gt;&lt;citation.key3&gt;CaseName.SecondParty.Party&lt;/citation.key3&gt;&lt;citation.value3&gt;Bock Laundry Machine Co.&lt;/citation.value3&gt;&lt;citation.key4&gt;CaseName.SecondParty._Pattern&lt;/citation.key4&gt;&lt;citation.value4&gt;Party.Party&lt;/citation.value4&gt;&lt;citation.key5&gt;CourtParenthetical&lt;/citation.key5&gt;&lt;citation.value5&gt; (1989) &lt;/citation.value5&gt;&lt;citation.key6&gt;CourtParenthetical.Date.Year.Year&lt;/citation.key6&gt;&lt;citation.value6&gt;1989&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Green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90 U.S. 504, 521-22 &lt;/citation.value23&gt;&lt;citation.key24&gt;Reporter.FirstPage&lt;/citation.key24&gt;&lt;citation.value24&gt;504&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90&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521-22 &lt;/citation.value33&gt;&lt;citation.key34&gt;Reporter.__PinPages.First&lt;/citation.key34&gt;&lt;citation.value34&gt;521&lt;/citation.value34&gt;&lt;citation.key35&gt;Reporter.__PinPages.First._Pattern&lt;/citation.key35&gt;&lt;citation.value35&gt;FirstPageInRange.FirstPageInRange&lt;/citation.value35&gt;&lt;citation.key36&gt;Reporter.__PinPages.First.__PageNumber&lt;/citation.key36&gt;&lt;citation.value36&gt;521&lt;/citation.value36&gt;&lt;citation.key37&gt;Reporter.__PinPages.Last&lt;/citation.key37&gt;&lt;citation.value37&gt;22 &lt;/citation.value37&gt;&lt;citation.key38&gt;Reporter.__PinPages.Last.PageNumber&lt;/citation.key38&gt;&lt;citation.value38&gt;22&lt;/citation.value38&gt;&lt;citation.key39&gt;Reporter.__PinPages.Last.PageNumber_Full&lt;/citation.key39&gt;&lt;citation.value39&gt;522&lt;/citation.value39&gt;&lt;citation.key40&gt;Reporter.__PinPages.Last._Pattern&lt;/citation.key40&gt;&lt;citation.value40&gt;LastPageNumber.LastPageNumber&lt;/citation.value40&gt;&lt;citation.key41&gt;Reporter.__PinPages.RangeDash&lt;/citation.key41&gt;&lt;citation.value41&gt;-&lt;/citation.value41&gt;&lt;citation.key42&gt;Reporter.__PinPages._Pattern&lt;/citation.key42&gt;&lt;citation.value42&gt;PinPages.PinPages&lt;/citation.value42&gt;&lt;citation.key43&gt;Reporter.page&lt;/citation.key43&gt;&lt;citation.value43&gt;pages&lt;/citation.value43&gt;&lt;citation.key44&gt;RequiredComma&lt;/citation.key44&gt;&lt;citation.value44&gt;, &lt;/citation.value44&gt;&lt;citation.key45&gt;RequiredComma._Pattern&lt;/citation.key45&gt;&lt;citation.value45&gt;RequiredComma.RequiredComma&lt;/citation.value45&gt;&lt;citation.key46&gt;SecondParty&lt;/citation.key46&gt;&lt;citation.value46&gt;Bock Laundry Mach. Co. &lt;/citation.value46&gt;&lt;citation.key47&gt;supra&lt;/citation.key47&gt;&lt;citation.value47&gt;&lt;/citation.value47&gt;&lt;citation.key48&gt;supra.,&lt;/citation.key48&gt;&lt;citation.value48&gt;, &lt;/citation.value48&gt;&lt;citation.key49&gt;supra._Pattern&lt;/citation.key49&gt;&lt;citation.value49&gt;ShortCaseSupra.ShortCaseSupra&lt;/citation.value49&gt;&lt;citation.key50&gt;supra.supra&lt;/citation.key50&gt;&lt;citation.value50&gt;supra&lt;/citation.value50&gt;&lt;citation.key51&gt;v&lt;/citation.key51&gt;&lt;citation.value51&gt;v.&lt;/citation.value51&gt;&lt;/citation&gt;_x000a_"/>
    <w:docVar w:name="CITRUS_BOOKMARK15[0]" w:val="&lt;#1&gt;&lt;citation&gt;&lt;citation._original_string&gt;right § 10.08[B] (1982)&lt;/citation._original_string&gt;&lt;citation._current_string&gt;right § 10.08[B] (1982)&lt;/citation._current_string&gt;&lt;citation._full_string&gt;right  § 10.08[B] (1982)&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 § 10.08[B] (1982) &lt;/citation.value3&gt;&lt;citation.key4&gt;NonperiodicalsEnd.(&lt;/citation.key4&gt;&lt;citation.value4&gt;(&lt;/citation.value4&gt;&lt;citation.key5&gt;NonperiodicalsEnd.)&lt;/citation.key5&gt;&lt;citation.value5&gt;)&lt;/citation.value5&gt;&lt;citation.key6&gt;NonperiodicalsEnd.ForbiddenComma._Pattern&lt;/citation.key6&gt;&lt;citation.value6&gt;ForbiddenComma.ForbiddenComma&lt;/citation.value6&gt;&lt;citation.key7&gt;NonperiodicalsEnd._Pattern&lt;/citation.key7&gt;&lt;citation.value7&gt;NonperiodicalsEnd.NonperiodicalsEnd&lt;/citation.value7&gt;&lt;citation.key8&gt;NonperiodicalsEnd.__PinSections&lt;/citation.key8&gt;&lt;citation.value8&gt; § 10.08[B] &lt;/citation.value8&gt;&lt;citation.key9&gt;NonperiodicalsEnd.__PinSections.First&lt;/citation.key9&gt;&lt;citation.value9&gt;10.08[B]&lt;/citation.value9&gt;&lt;citation.key10&gt;NonperiodicalsEnd.__PinSections.SectionSymbol&lt;/citation.key10&gt;&lt;citation.value10&gt; §&lt;/citation.value10&gt;&lt;citation.key11&gt;NonperiodicalsEnd.__PinSections._Pattern&lt;/citation.key11&gt;&lt;citation.value11&gt;PinSections.PinSections&lt;/citation.value11&gt;&lt;citation.key12&gt;NonperiodicalsEnd.__Year&lt;/citation.key12&gt;&lt;citation.value12&gt;1982 &lt;/citation.value12&gt;&lt;citation.key13&gt;NonperiodicalsEnd.__Year.Year&lt;/citation.key13&gt;&lt;citation.value13&gt;1982&lt;/citation.value13&gt;&lt;citation.key14&gt;NonperiodicalsEnd.__Year._Pattern&lt;/citation.key14&gt;&lt;citation.value14&gt;Year.Year&lt;/citation.value14&gt;&lt;citation.key15&gt;NonperiodicalsEnd.__at&lt;/citation.key15&gt;&lt;citation.value15&gt;at &lt;/citation.value15&gt;&lt;citation.key16&gt;Title&lt;/citation.key16&gt;&lt;citation.value16&gt;right &lt;/citation.value16&gt;&lt;/citation&gt;_x000a_"/>
    <w:docVar w:name="CITRUS_BOOKMARK16[0]" w:val="&lt;#1&gt;&lt;citation&gt;&lt;citation._original_string&gt;Harlow &amp; Jones, Inc. v. Advance Steel Co., 424 F. Supp. 770, 775 (E.D. Mich. 1976)&lt;/citation._original_string&gt;&lt;citation._current_string&gt;Harlow &amp; Jones, Inc. v. Advance Steel Co., 424 F. Supp. 770, 775 (E.D. Mich. 1976)&lt;/citation._current_string&gt;&lt;citation._full_string&gt;Harlow &amp; Jones, Inc. v. Advance Steel Co., 424 F. Supp. 770, 775 (E.D. Mich. 1976)&lt;/citation._full_string&gt;&lt;citation._current_format&gt;Full.CaseCitation&lt;/citation._current_format&gt;&lt;citation.name&gt;&lt;/citation.name&gt;&lt;citation.key0&gt;,&lt;/citation.key0&gt;&lt;citation.value0&gt;,&lt;/citation.value0&gt;&lt;citation.key1&gt;CaseName.FirstParty&lt;/citation.key1&gt;&lt;citation.value1&gt;Harlow &amp; Jones, Inc.&lt;/citation.value1&gt;&lt;citation.key2&gt;CaseName.FirstParty.Party&lt;/citation.key2&gt;&lt;citation.value2&gt;Harlow &amp; Jones, Inc.&lt;/citation.value2&gt;&lt;citation.key3&gt;CaseName.FirstParty._Pattern&lt;/citation.key3&gt;&lt;citation.value3&gt;Party.Party&lt;/citation.value3&gt;&lt;citation.key4&gt;CaseName.SecondParty&lt;/citation.key4&gt;&lt;citation.value4&gt;Advance Steel Co.&lt;/citation.value4&gt;&lt;citation.key5&gt;CaseName.SecondParty.Party&lt;/citation.key5&gt;&lt;citation.value5&gt;Advance Steel Co.&lt;/citation.value5&gt;&lt;citation.key6&gt;CaseName.SecondParty._Pattern&lt;/citation.key6&gt;&lt;citation.value6&gt;Party.Party&lt;/citation.value6&gt;&lt;citation.key7&gt;CaseName._Pattern&lt;/citation.key7&gt;&lt;citation.value7&gt;&lt;/citation.value7&gt;&lt;citation.key8&gt;CourtParenthetical&lt;/citation.key8&gt;&lt;citation.value8&gt; (E.D. Mich. 1976) &lt;/citation.value8&gt;&lt;citation.key9&gt;CourtParenthetical.CourtName&lt;/citation.key9&gt;&lt;citation.value9&gt;E.D. Mich. &lt;/citation.value9&gt;&lt;citation.key10&gt;CourtParenthetical.CourtName.CourtName&lt;/citation.key10&gt;&lt;citation.value10&gt;E.D. Mich.&lt;/citation.value10&gt;&lt;citation.key11&gt;CourtParenthetical.CourtName._Pattern&lt;/citation.key11&gt;&lt;citation.value11&gt;CourtName.CourtName&lt;/citation.value11&gt;&lt;citation.key12&gt;CourtParenthetical.Date.Year&lt;/citation.key12&gt;&lt;citation.value12&gt;1976&lt;/citation.value12&gt;&lt;citation.key13&gt;CourtParenthetical.Date.Year.Year&lt;/citation.key13&gt;&lt;citation.value13&gt;1976&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24 F. Supp. 770, 775&lt;/citation.value30&gt;&lt;citation.key31&gt;Reporter.FirstPage&lt;/citation.key31&gt;&lt;citation.value31&gt;770&lt;/citation.value31&gt;&lt;citation.key32&gt;Reporter.Name&lt;/citation.key32&gt;&lt;citation.value32&gt;F. Supp.&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24&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775&lt;/citation.value40&gt;&lt;citation.key41&gt;Reporter.__PinPages.First&lt;/citation.key41&gt;&lt;citation.value41&gt;775&lt;/citation.value41&gt;&lt;citation.key42&gt;Reporter.__PinPages.First._Pattern&lt;/citation.key42&gt;&lt;citation.value42&gt;FirstPageInRange.FirstPageInRange&lt;/citation.value42&gt;&lt;citation.key43&gt;Reporter.__PinPages.First.__PageNumber&lt;/citation.key43&gt;&lt;citation.value43&gt;775&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17[0]" w:val="&lt;#1&gt;&lt;citation&gt;&lt;citation._original_string&gt;Compaq Computer Corp. v. Ergonome Inc., 210 F. Supp. 2d 839, 844 (S.D. Tex. 2001)&lt;/citation._original_string&gt;&lt;citation._current_string&gt;Compaq Computer Corp. v. Ergonome Inc., 210 F. Supp. 2d 839, 844 (S.D. Tex. 2001)&lt;/citation._current_string&gt;&lt;citation._full_string&gt;Compaq Computer Corp. v. Ergonome Inc., 210 F. Supp. 2d 839, 844 (S.D. Tex. 2001)&lt;/citation._full_string&gt;&lt;citation._current_format&gt;Full.CaseCitation&lt;/citation._current_format&gt;&lt;citation.name&gt;&lt;/citation.name&gt;&lt;citation.key0&gt;,&lt;/citation.key0&gt;&lt;citation.value0&gt;,&lt;/citation.value0&gt;&lt;citation.key1&gt;CaseName.FirstParty&lt;/citation.key1&gt;&lt;citation.value1&gt;Compaq Computer Corp.&lt;/citation.value1&gt;&lt;citation.key2&gt;CaseName.FirstParty.Party&lt;/citation.key2&gt;&lt;citation.value2&gt;Compaq Computer Corp.&lt;/citation.value2&gt;&lt;citation.key3&gt;CaseName.FirstParty._Pattern&lt;/citation.key3&gt;&lt;citation.value3&gt;Party.Party&lt;/citation.value3&gt;&lt;citation.key4&gt;CaseName.SecondParty&lt;/citation.key4&gt;&lt;citation.value4&gt;Ergonome Inc.&lt;/citation.value4&gt;&lt;citation.key5&gt;CaseName.SecondParty.Party&lt;/citation.key5&gt;&lt;citation.value5&gt;Ergonome Inc.&lt;/citation.value5&gt;&lt;citation.key6&gt;CaseName.SecondParty._Pattern&lt;/citation.key6&gt;&lt;citation.value6&gt;Party.Party&lt;/citation.value6&gt;&lt;citation.key7&gt;CaseName._Pattern&lt;/citation.key7&gt;&lt;citation.value7&gt;&lt;/citation.value7&gt;&lt;citation.key8&gt;CourtParenthetical&lt;/citation.key8&gt;&lt;citation.value8&gt; (S.D. Tex. 2001) &lt;/citation.value8&gt;&lt;citation.key9&gt;CourtParenthetical.CourtName&lt;/citation.key9&gt;&lt;citation.value9&gt;S.D. Tex. &lt;/citation.value9&gt;&lt;citation.key10&gt;CourtParenthetical.CourtName.CourtName&lt;/citation.key10&gt;&lt;citation.value10&gt;S.D. Tex.&lt;/citation.value10&gt;&lt;citation.key11&gt;CourtParenthetical.CourtName._Pattern&lt;/citation.key11&gt;&lt;citation.value11&gt;CourtName.CourtName&lt;/citation.value11&gt;&lt;citation.key12&gt;CourtParenthetical.Date.Year&lt;/citation.key12&gt;&lt;citation.value12&gt;2001&lt;/citation.value12&gt;&lt;citation.key13&gt;CourtParenthetical.Date.Year.Year&lt;/citation.key13&gt;&lt;citation.value13&gt;2001&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210 F. Supp. 2d 839, 844&lt;/citation.value30&gt;&lt;citation.key31&gt;Reporter.FirstPage&lt;/citation.key31&gt;&lt;citation.value31&gt;839&lt;/citation.value31&gt;&lt;citation.key32&gt;Reporter.Name&lt;/citation.key32&gt;&lt;citation.value32&gt;F. Supp. 2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210&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844&lt;/citation.value40&gt;&lt;citation.key41&gt;Reporter.__PinPages.First&lt;/citation.key41&gt;&lt;citation.value41&gt;844&lt;/citation.value41&gt;&lt;citation.key42&gt;Reporter.__PinPages.First._Pattern&lt;/citation.key42&gt;&lt;citation.value42&gt;FirstPageInRange.FirstPageInRange&lt;/citation.value42&gt;&lt;citation.key43&gt;Reporter.__PinPages.First.__PageNumber&lt;/citation.key43&gt;&lt;citation.value43&gt;844&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18[0]" w:val="&lt;#1&gt;&lt;citation&gt;&lt;citation._original_string&gt;Playboy Enterprises, Inc. v. Dumas, 53 F.3d 549, 552 (2d Cir. 1995)&lt;/citation._original_string&gt;&lt;citation._current_string&gt;Playboy Enters. v. Dumas, 53 F.3d 549, 552 (2d Cir. 1995)&lt;/citation._current_string&gt;&lt;citation._full_string&gt;Playboy Enters. v. Dumas, 53 F.3d 549, 552 (2d Cir. 1995)&lt;/citation._full_string&gt;&lt;citation._current_format&gt;Full.CaseCitation&lt;/citation._current_format&gt;&lt;citation.name&gt;&lt;/citation.name&gt;&lt;citation.key0&gt;,&lt;/citation.key0&gt;&lt;citation.value0&gt;,&lt;/citation.value0&gt;&lt;citation.key1&gt;CaseName.FirstParty&lt;/citation.key1&gt;&lt;citation.value1&gt;Playboy Enters.&lt;/citation.value1&gt;&lt;citation.key2&gt;CaseName.FirstParty.Party&lt;/citation.key2&gt;&lt;citation.value2&gt;Playboy Enters.&lt;/citation.value2&gt;&lt;citation.key3&gt;CaseName.FirstParty._Pattern&lt;/citation.key3&gt;&lt;citation.value3&gt;Party.Party&lt;/citation.value3&gt;&lt;citation.key4&gt;CaseName.SecondParty&lt;/citation.key4&gt;&lt;citation.value4&gt;Dumas&lt;/citation.value4&gt;&lt;citation.key5&gt;CaseName.SecondParty.Party&lt;/citation.key5&gt;&lt;citation.value5&gt;Dumas&lt;/citation.value5&gt;&lt;citation.key6&gt;CaseName.SecondParty._Pattern&lt;/citation.key6&gt;&lt;citation.value6&gt;Party.Party&lt;/citation.value6&gt;&lt;citation.key7&gt;CaseName._Pattern&lt;/citation.key7&gt;&lt;citation.value7&gt;&lt;/citation.value7&gt;&lt;citation.key8&gt;CourtParenthetical&lt;/citation.key8&gt;&lt;citation.value8&gt; (2d Cir. 1995) &lt;/citation.value8&gt;&lt;citation.key9&gt;CourtParenthetical.CourtName&lt;/citation.key9&gt;&lt;citation.value9&gt;2d Cir. &lt;/citation.value9&gt;&lt;citation.key10&gt;CourtParenthetical.CourtName.CourtName&lt;/citation.key10&gt;&lt;citation.value10&gt;2d Cir.&lt;/citation.value10&gt;&lt;citation.key11&gt;CourtParenthetical.CourtName._Pattern&lt;/citation.key11&gt;&lt;citation.value11&gt;CourtName.CourtName&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3 F.3d 549, 552&lt;/citation.value30&gt;&lt;citation.key31&gt;Reporter.FirstPage&lt;/citation.key31&gt;&lt;citation.value31&gt;549&lt;/citation.value31&gt;&lt;citation.key32&gt;Reporter.Name&lt;/citation.key32&gt;&lt;citation.value32&gt;F.3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3&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552&lt;/citation.value40&gt;&lt;citation.key41&gt;Reporter.__PinPages.First&lt;/citation.key41&gt;&lt;citation.value41&gt;552&lt;/citation.value41&gt;&lt;citation.key42&gt;Reporter.__PinPages.First._Pattern&lt;/citation.key42&gt;&lt;citation.value42&gt;FirstPageInRange.FirstPageInRange&lt;/citation.value42&gt;&lt;citation.key43&gt;Reporter.__PinPages.First.__PageNumber&lt;/citation.key43&gt;&lt;citation.value43&gt;552&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19[0]" w:val="&lt;#1&gt;&lt;citation&gt;&lt;citation._original_string&gt;Muscarello v. United States, 524 U.S. 125, 126 (1998)&lt;/citation._original_string&gt;&lt;citation._current_string&gt;Muscarello v. United States, 524 U.S. 125, 126 (1998)&lt;/citation._current_string&gt;&lt;citation._full_string&gt;Muscarello v. United States, 524 U.S. 125, 126 (1998)&lt;/citation._full_string&gt;&lt;citation._current_format&gt;Full.CaseCitation&lt;/citation._current_format&gt;&lt;citation.name&gt;&lt;/citation.name&gt;&lt;citation.key0&gt;,&lt;/citation.key0&gt;&lt;citation.value0&gt;,&lt;/citation.value0&gt;&lt;citation.key1&gt;CaseName.FirstParty.Party&lt;/citation.key1&gt;&lt;citation.value1&gt;Muscarello&lt;/citation.value1&gt;&lt;citation.key2&gt;CaseName.FirstParty._Pattern&lt;/citation.key2&gt;&lt;citation.value2&gt;Party.Party&lt;/citation.value2&gt;&lt;citation.key3&gt;CaseName.SecondParty.Party&lt;/citation.key3&gt;&lt;citation.value3&gt;United States&lt;/citation.value3&gt;&lt;citation.key4&gt;CaseName.SecondParty._Pattern&lt;/citation.key4&gt;&lt;citation.value4&gt;Party.Party&lt;/citation.value4&gt;&lt;citation.key5&gt;CourtParenthetical&lt;/citation.key5&gt;&lt;citation.value5&gt; (1998) &lt;/citation.value5&gt;&lt;citation.key6&gt;CourtParenthetical.Date.Year.Year&lt;/citation.key6&gt;&lt;citation.value6&gt;1998&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Muscarello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24 U.S. 125, 126&lt;/citation.value23&gt;&lt;citation.key24&gt;Reporter.FirstPage&lt;/citation.key24&gt;&lt;citation.value24&gt;125&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24&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126&lt;/citation.value33&gt;&lt;citation.key34&gt;Reporter.__PinPages.First&lt;/citation.key34&gt;&lt;citation.value34&gt;126&lt;/citation.value34&gt;&lt;citation.key35&gt;Reporter.__PinPages.First._Pattern&lt;/citation.key35&gt;&lt;citation.value35&gt;FirstPageInRange.FirstPageInRange&lt;/citation.value35&gt;&lt;citation.key36&gt;Reporter.__PinPages.First.__PageNumber&lt;/citation.key36&gt;&lt;citation.value36&gt;126&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United States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2[0]" w:val="&lt;#1&gt;&lt;citation&gt;&lt;citation._original_string&gt;17 U.S.C. § 101(2)&lt;/citation._original_string&gt;&lt;citation._current_string&gt;17 U.S.C. § 101(2) (2006)&lt;/citation._current_string&gt;&lt;citation._full_string&gt;17 U.S.C. §101(2) (200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2)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2)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2) &lt;/citation.value13&gt;&lt;citation.key14&gt;USCCodeCitation.__SectionOrSections.SectionNumberList.SectionNumberScalarOrRange&lt;/citation.key14&gt;&lt;citation.value14&gt;101(2) &lt;/citation.value14&gt;&lt;citation.key15&gt;USCCodeCitation.__SectionOrSections.SectionNumberList.SectionNumberScalarOrRange.SectionNumber&lt;/citation.key15&gt;&lt;citation.value15&gt;101(2)&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20[0]" w:val="&lt;#1&gt;&lt;citation&gt;&lt;citation._original_string&gt;Wisconsin Pub. Intervenor v. Mortier, 501 U.S. 597, 597 (1991)&lt;/citation._original_string&gt;&lt;citation._current_string&gt;Wis. Pub. Intervenor v. Mortier, 501 U.S. 597, 597 (1991)&lt;/citation._current_string&gt;&lt;citation._full_string&gt;Wis. Pub. Intervenor v. Mortier, 501 U.S. 597, 597 (1991)&lt;/citation._full_string&gt;&lt;citation._current_format&gt;Full.CaseCitation&lt;/citation._current_format&gt;&lt;citation.name&gt;&lt;/citation.name&gt;&lt;citation.key0&gt;,&lt;/citation.key0&gt;&lt;citation.value0&gt;,&lt;/citation.value0&gt;&lt;citation.key1&gt;CaseName.FirstParty.Party&lt;/citation.key1&gt;&lt;citation.value1&gt;Wisconsin Public Intervenor&lt;/citation.value1&gt;&lt;citation.key2&gt;CaseName.FirstParty._Pattern&lt;/citation.key2&gt;&lt;citation.value2&gt;Party.Party&lt;/citation.value2&gt;&lt;citation.key3&gt;CaseName.SecondParty.Party&lt;/citation.key3&gt;&lt;citation.value3&gt;Mortier&lt;/citation.value3&gt;&lt;citation.key4&gt;CaseName.SecondParty._Pattern&lt;/citation.key4&gt;&lt;citation.value4&gt;Party.Party&lt;/citation.value4&gt;&lt;citation.key5&gt;CourtParenthetical&lt;/citation.key5&gt;&lt;citation.value5&gt; (1991) &lt;/citation.value5&gt;&lt;citation.key6&gt;CourtParenthetical.Date.Year.Year&lt;/citation.key6&gt;&lt;citation.value6&gt;1991&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Wis. Pub. Intervenor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01 U.S. 597, 597&lt;/citation.value23&gt;&lt;citation.key24&gt;Reporter.FirstPage&lt;/citation.key24&gt;&lt;citation.value24&gt;597&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01&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597&lt;/citation.value33&gt;&lt;citation.key34&gt;Reporter.__PinPages.First&lt;/citation.key34&gt;&lt;citation.value34&gt;597&lt;/citation.value34&gt;&lt;citation.key35&gt;Reporter.__PinPages.First._Pattern&lt;/citation.key35&gt;&lt;citation.value35&gt;FirstPageInRange.FirstPageInRange&lt;/citation.value35&gt;&lt;citation.key36&gt;Reporter.__PinPages.First.__PageNumber&lt;/citation.key36&gt;&lt;citation.value36&gt;597&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Mortier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21[0]" w:val="&lt;#1&gt;&lt;citation&gt;&lt;citation._original_string&gt;Conroy v. Aniskoff, 507 U.S. 511, 518 (1993)&lt;/citation._original_string&gt;&lt;citation._current_string&gt;Conroy v. Aniskoff, 507 U.S. 511, 518 (1993)&lt;/citation._current_string&gt;&lt;citation._full_string&gt;Conroy v. Aniskoff, 507 U.S. 511, 518 (1993)&lt;/citation._full_string&gt;&lt;citation._current_format&gt;Full.CaseCitation&lt;/citation._current_format&gt;&lt;citation.name&gt;&lt;/citation.name&gt;&lt;citation.key0&gt;,&lt;/citation.key0&gt;&lt;citation.value0&gt;,&lt;/citation.value0&gt;&lt;citation.key1&gt;CaseName.FirstParty.Party&lt;/citation.key1&gt;&lt;citation.value1&gt;Conroy&lt;/citation.value1&gt;&lt;citation.key2&gt;CaseName.FirstParty._Pattern&lt;/citation.key2&gt;&lt;citation.value2&gt;Party.Party&lt;/citation.value2&gt;&lt;citation.key3&gt;CaseName.SecondParty.Party&lt;/citation.key3&gt;&lt;citation.value3&gt;Aniskoff&lt;/citation.value3&gt;&lt;citation.key4&gt;CaseName.SecondParty._Pattern&lt;/citation.key4&gt;&lt;citation.value4&gt;Party.Party&lt;/citation.value4&gt;&lt;citation.key5&gt;CourtParenthetical&lt;/citation.key5&gt;&lt;citation.value5&gt; (1993) &lt;/citation.value5&gt;&lt;citation.key6&gt;CourtParenthetical.Date.Year.Year&lt;/citation.key6&gt;&lt;citation.value6&gt;1993&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Conroy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07 U.S. 511, 518&lt;/citation.value23&gt;&lt;citation.key24&gt;Reporter.FirstPage&lt;/citation.key24&gt;&lt;citation.value24&gt;511&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07&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518&lt;/citation.value33&gt;&lt;citation.key34&gt;Reporter.__PinPages.First&lt;/citation.key34&gt;&lt;citation.value34&gt;518&lt;/citation.value34&gt;&lt;citation.key35&gt;Reporter.__PinPages.First._Pattern&lt;/citation.key35&gt;&lt;citation.value35&gt;FirstPageInRange.FirstPageInRange&lt;/citation.value35&gt;&lt;citation.key36&gt;Reporter.__PinPages.First.__PageNumber&lt;/citation.key36&gt;&lt;citation.value36&gt;518&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Aniskoff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22[0]" w:val="&lt;#1&gt;&lt;citation&gt;&lt;citation._original_string&gt;Jessica Litman, Copyright, Compromise, and Legislative History.72 Cornell L. Rev. 857, 858 (1987)&lt;/citation._original_string&gt;&lt;citation._current_string&gt;Jessica Litman, Copyright, Compromise, and Legislative History.72 Cornell L. Rev. 857, 858 (1987)&lt;/citation._current_string&gt;&lt;citation._full_string&gt;Jessica Litman, Copyright, Compromise, and Legislative History.72 Cornell L. Rev. 857, 858 (1987)&lt;/citation._full_string&gt;&lt;citation._current_format&gt;Full.Nonperiodicals&lt;/citation._current_format&gt;&lt;citation.name&gt;&lt;/citation.name&gt;&lt;citation.key0&gt;,&lt;/citation.key0&gt;&lt;citation.value0&gt;,&lt;/citation.value0&gt;&lt;citation.key1&gt;AuthorList&lt;/citation.key1&gt;&lt;citation.value1&gt;Jessica Litman &lt;/citation.value1&gt;&lt;citation.key2&gt;AuthorList.Author&lt;/citation.key2&gt;&lt;citation.value2&gt;Jessica Litman &lt;/citation.value2&gt;&lt;citation.key3&gt;AuthorList.Author.Name&lt;/citation.key3&gt;&lt;citation.value3&gt;Jessica Litman&lt;/citation.value3&gt;&lt;citation.key4&gt;AuthorList.Author._Pattern&lt;/citation.key4&gt;&lt;citation.value4&gt;Author.Author&lt;/citation.value4&gt;&lt;citation.key5&gt;AuthorList._Pattern&lt;/citation.key5&gt;&lt;citation.value5&gt;AuthorList.AuthorList&lt;/citation.value5&gt;&lt;citation.key6&gt;Author_NickName_Guess&lt;/citation.key6&gt;&lt;citation.value6&gt;Litman&lt;/citation.value6&gt;&lt;citation.key7&gt;Id&lt;/citation.key7&gt;&lt;citation.value7&gt;Id. &lt;/citation.value7&gt;&lt;citation.key8&gt;Id.Id&lt;/citation.key8&gt;&lt;citation.value8&gt;Id.&lt;/citation.value8&gt;&lt;citation.key9&gt;Id._Pattern&lt;/citation.key9&gt;&lt;citation.value9&gt;IdGraph.IdGraph&lt;/citation.value9&gt;&lt;citation.key10&gt;NonperiodicalsEnd&lt;/citation.key10&gt;&lt;citation.value10&gt;857, 858 (1987) &lt;/citation.value10&gt;&lt;citation.key11&gt;NonperiodicalsEnd.(&lt;/citation.key11&gt;&lt;citation.value11&gt;(&lt;/citation.value11&gt;&lt;citation.key12&gt;NonperiodicalsEnd.)&lt;/citation.key12&gt;&lt;citation.value12&gt;)&lt;/citation.value12&gt;&lt;citation.key13&gt;NonperiodicalsEnd.ForbiddenComma._Pattern&lt;/citation.key13&gt;&lt;citation.value13&gt;ForbiddenComma.ForbiddenComma&lt;/citation.value13&gt;&lt;citation.key14&gt;NonperiodicalsEnd._Pattern&lt;/citation.key14&gt;&lt;citation.value14&gt;NonperiodicalsEnd.NonperiodicalsEnd&lt;/citation.value14&gt;&lt;citation.key15&gt;NonperiodicalsEnd.__PinPages&lt;/citation.key15&gt;&lt;citation.value15&gt;857, 858&lt;/citation.value15&gt;&lt;citation.key16&gt;NonperiodicalsEnd.__PinPages.First&lt;/citation.key16&gt;&lt;citation.value16&gt;857&lt;/citation.value16&gt;&lt;citation.key17&gt;NonperiodicalsEnd.__PinPages.First._Pattern&lt;/citation.key17&gt;&lt;citation.value17&gt;FirstPageInRange.FirstPageInRange&lt;/citation.value17&gt;&lt;citation.key18&gt;NonperiodicalsEnd.__PinPages.First.__PageNumber&lt;/citation.key18&gt;&lt;citation.value18&gt;857&lt;/citation.value18&gt;&lt;citation.key19&gt;NonperiodicalsEnd.__PinPages.RequiredComma&lt;/citation.key19&gt;&lt;citation.value19&gt;, &lt;/citation.value19&gt;&lt;citation.key20&gt;NonperiodicalsEnd.__PinPages.RequiredComma.Comma&lt;/citation.key20&gt;&lt;citation.value20&gt;,&lt;/citation.value20&gt;&lt;citation.key21&gt;NonperiodicalsEnd.__PinPages.RequiredComma._Pattern&lt;/citation.key21&gt;&lt;citation.value21&gt;RequiredComma.RequiredComma&lt;/citation.value21&gt;&lt;citation.key22&gt;NonperiodicalsEnd.__PinPages._Pattern&lt;/citation.key22&gt;&lt;citation.value22&gt;PinPages.PinPages&lt;/citation.value22&gt;&lt;citation.key23&gt;NonperiodicalsEnd.__PinPages.__PinPages&lt;/citation.key23&gt;&lt;citation.value23&gt;858&lt;/citation.value23&gt;&lt;citation.key24&gt;NonperiodicalsEnd.__PinPages.__PinPages.First&lt;/citation.key24&gt;&lt;citation.value24&gt;858&lt;/citation.value24&gt;&lt;citation.key25&gt;NonperiodicalsEnd.__PinPages.__PinPages.First._Pattern&lt;/citation.key25&gt;&lt;citation.value25&gt;FirstPageInRange.FirstPageInRange&lt;/citation.value25&gt;&lt;citation.key26&gt;NonperiodicalsEnd.__PinPages.__PinPages.First.__PageNumber&lt;/citation.key26&gt;&lt;citation.value26&gt;858&lt;/citation.value26&gt;&lt;citation.key27&gt;NonperiodicalsEnd.__PinPages.__PinPages._Pattern&lt;/citation.key27&gt;&lt;citation.value27&gt;PinPages.PinPages&lt;/citation.value27&gt;&lt;citation.key28&gt;NonperiodicalsEnd.__Year&lt;/citation.key28&gt;&lt;citation.value28&gt;1987 &lt;/citation.value28&gt;&lt;citation.key29&gt;NonperiodicalsEnd.__Year.Year&lt;/citation.key29&gt;&lt;citation.value29&gt;1987&lt;/citation.value29&gt;&lt;citation.key30&gt;NonperiodicalsEnd.__Year._Pattern&lt;/citation.key30&gt;&lt;citation.value30&gt;Year.Year&lt;/citation.value30&gt;&lt;citation.key31&gt;NonperiodicalsEnd.__at&lt;/citation.key31&gt;&lt;citation.value31&gt;at &lt;/citation.value31&gt;&lt;citation.key32&gt;Title&lt;/citation.key32&gt;&lt;citation.value32&gt;Copyright, Compromise, and Legislative History.72 Cornell L. Rev.&lt;/citation.value32&gt;&lt;/citation&gt;_x000a_"/>
    <w:docVar w:name="CITRUS_BOOKMARK3[0]" w:val="&lt;#1&gt;&lt;citation&gt;&lt;citation._original_string&gt;Chevron, U.S.A., Inc. v. Natural Res. Def. Council, Inc., 467 U.S. 837, 842 (1984)&lt;/citation._original_string&gt;&lt;citation._current_string&gt;Chevron U.S.A. Inc. v. Natural Resources Defense Council, 467 U.S. 837, 842 (1984)&lt;/citation._current_string&gt;&lt;citation._full_string&gt;Chevron U.S.A. Inc. v. Natural Resources Defense Council, 467 U.S. 837, 842 (1984)&lt;/citation._full_string&gt;&lt;citation._current_format&gt;Full.CaseCitation&lt;/citation._current_format&gt;&lt;citation.name&gt;&lt;/citation.name&gt;&lt;citation.key0&gt;,&lt;/citation.key0&gt;&lt;citation.value0&gt;,&lt;/citation.value0&gt;&lt;citation.key1&gt;CaseName.FirstParty.Party&lt;/citation.key1&gt;&lt;citation.value1&gt;Chevron U.S.A. Inc.&lt;/citation.value1&gt;&lt;citation.key2&gt;CaseName.FirstParty._Pattern&lt;/citation.key2&gt;&lt;citation.value2&gt;Party.Party&lt;/citation.value2&gt;&lt;citation.key3&gt;CaseName.SecondParty.Party&lt;/citation.key3&gt;&lt;citation.value3&gt;Natural Resources Defense Council, Inc.&lt;/citation.value3&gt;&lt;citation.key4&gt;CaseName.SecondParty._Pattern&lt;/citation.key4&gt;&lt;citation.value4&gt;Party.Party&lt;/citation.value4&gt;&lt;citation.key5&gt;CourtParenthetical&lt;/citation.key5&gt;&lt;citation.value5&gt; (1984) &lt;/citation.value5&gt;&lt;citation.key6&gt;CourtParenthetical.Date.Year.Year&lt;/citation.key6&gt;&lt;citation.value6&gt;1984&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Chevron U.S.A. Inc.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67 U.S. 837, 842&lt;/citation.value23&gt;&lt;citation.key24&gt;Reporter.FirstPage&lt;/citation.key24&gt;&lt;citation.value24&gt;837&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67&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842&lt;/citation.value33&gt;&lt;citation.key34&gt;Reporter.__PinPages.First&lt;/citation.key34&gt;&lt;citation.value34&gt;842&lt;/citation.value34&gt;&lt;citation.key35&gt;Reporter.__PinPages.First._Pattern&lt;/citation.key35&gt;&lt;citation.value35&gt;FirstPageInRange.FirstPageInRange&lt;/citation.value35&gt;&lt;citation.key36&gt;Reporter.__PinPages.First.__PageNumber&lt;/citation.key36&gt;&lt;citation.value36&gt;842&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Natural Resources Defense Council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4[0]" w:val="&lt;#1&gt;&lt;citation&gt;&lt;citation._original_string&gt;Arlington Cent. Sch. Dist. Bd. of Educ. v. Murphy, 548 U.S. 291, 296 (2006)&lt;/citation._original_string&gt;&lt;citation._current_string&gt;Arlington Cent. Sch. Dist. Bd. of Educ. v. Murphy, 548 U.S. 291, 296 (2006)&lt;/citation._current_string&gt;&lt;citation._full_string&gt;Arlington Cent. Sch. Dist. Bd. of Educ. v. Murphy, 548 U.S. 291, 296 (2006)&lt;/citation._full_string&gt;&lt;citation._current_format&gt;Full.CaseCitation&lt;/citation._current_format&gt;&lt;citation.name&gt;&lt;/citation.name&gt;&lt;citation.key0&gt;,&lt;/citation.key0&gt;&lt;citation.value0&gt;,&lt;/citation.value0&gt;&lt;citation.key1&gt;CaseName.FirstParty.Party&lt;/citation.key1&gt;&lt;citation.value1&gt;Arlington Central School District Board of Education&lt;/citation.value1&gt;&lt;citation.key2&gt;CaseName.FirstParty._Pattern&lt;/citation.key2&gt;&lt;citation.value2&gt;Party.Party&lt;/citation.value2&gt;&lt;citation.key3&gt;CaseName.SecondParty.Party&lt;/citation.key3&gt;&lt;citation.value3&gt;Murphy&lt;/citation.value3&gt;&lt;citation.key4&gt;CaseName.SecondParty._Pattern&lt;/citation.key4&gt;&lt;citation.value4&gt;Party.Party&lt;/citation.value4&gt;&lt;citation.key5&gt;CourtParenthetical&lt;/citation.key5&gt;&lt;citation.value5&gt; (2006) &lt;/citation.value5&gt;&lt;citation.key6&gt;CourtParenthetical.Date.Year.Year&lt;/citation.key6&gt;&lt;citation.value6&gt;2006&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Arlington Cent. Sch. Dist. Bd. of Educ.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48 U.S. 291, 296&lt;/citation.value23&gt;&lt;citation.key24&gt;Reporter.FirstPage&lt;/citation.key24&gt;&lt;citation.value24&gt;291&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48&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296&lt;/citation.value33&gt;&lt;citation.key34&gt;Reporter.__PinPages.First&lt;/citation.key34&gt;&lt;citation.value34&gt;296&lt;/citation.value34&gt;&lt;citation.key35&gt;Reporter.__PinPages.First._Pattern&lt;/citation.key35&gt;&lt;citation.value35&gt;FirstPageInRange.FirstPageInRange&lt;/citation.value35&gt;&lt;citation.key36&gt;Reporter.__PinPages.First.__PageNumber&lt;/citation.key36&gt;&lt;citation.value36&gt;296&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Murphy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5[0]" w:val="&lt;#1&gt;&lt;citation&gt;&lt;citation._original_string&gt;17 U.S.C. § 101(2)&lt;/citation._original_string&gt;&lt;citation._current_string&gt;17 U.S.C. § 101(2)&lt;/citation._current_string&gt;&lt;citation._full_string&gt;17 U.S.C. §101(2)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2)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2)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2) &lt;/citation.value13&gt;&lt;citation.key14&gt;USCCodeCitation.__SectionOrSections.SectionNumberList.SectionNumberScalarOrRange&lt;/citation.key14&gt;&lt;citation.value14&gt;101(2) &lt;/citation.value14&gt;&lt;citation.key15&gt;USCCodeCitation.__SectionOrSections.SectionNumberList.SectionNumberScalarOrRange.SectionNumber&lt;/citation.key15&gt;&lt;citation.value15&gt;101(2)&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6[0]" w:val="&lt;#1&gt;&lt;citation&gt;&lt;citation._original_string&gt;Cent. Bank of Denver, N.A. v. First Interstate Bank of Denver, N.A., 511 U.S. 164, 186 (1994)&lt;/citation._original_string&gt;&lt;citation._current_string&gt;Cent. Bank of Denver, N.A. v. First Interstate Bank of Denver, N.A., 511 U.S. 164, 186 (1994)&lt;/citation._current_string&gt;&lt;citation._full_string&gt;Cent. Bank of Denver , N.A. v. First Interstate Bank of Denver , N.A., 511 U.S. 164, 186 (1994)&lt;/citation._full_string&gt;&lt;citation._current_format&gt;Full.CaseCitation&lt;/citation._current_format&gt;&lt;citation.name&gt;&lt;/citation.name&gt;&lt;citation.key0&gt;,&lt;/citation.key0&gt;&lt;citation.value0&gt;,&lt;/citation.value0&gt;&lt;citation.key1&gt;CaseName.FirstParty.Party&lt;/citation.key1&gt;&lt;citation.value1&gt;Cent. Bank of Denver , N. A.&lt;/citation.value1&gt;&lt;citation.key2&gt;CaseName.FirstParty._Pattern&lt;/citation.key2&gt;&lt;citation.value2&gt;Party.Party&lt;/citation.value2&gt;&lt;citation.key3&gt;CaseName.SecondParty.Party&lt;/citation.key3&gt;&lt;citation.value3&gt;First Interstate Bank of Denver , N. A.&lt;/citation.value3&gt;&lt;citation.key4&gt;CaseName.SecondParty._Pattern&lt;/citation.key4&gt;&lt;citation.value4&gt;Party.Party&lt;/citation.value4&gt;&lt;citation.key5&gt;CourtParenthetical&lt;/citation.key5&gt;&lt;citation.value5&gt; (1994) &lt;/citation.value5&gt;&lt;citation.key6&gt;CourtParenthetical.Date.Year.Year&lt;/citation.key6&gt;&lt;citation.value6&gt;1994&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Cent. Bank of Denver , N.A.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11 U.S. 164, 186&lt;/citation.value23&gt;&lt;citation.key24&gt;Reporter.FirstPage&lt;/citation.key24&gt;&lt;citation.value24&gt;164&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11&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186&lt;/citation.value33&gt;&lt;citation.key34&gt;Reporter.__PinPages.First&lt;/citation.key34&gt;&lt;citation.value34&gt;186&lt;/citation.value34&gt;&lt;citation.key35&gt;Reporter.__PinPages.First._Pattern&lt;/citation.key35&gt;&lt;citation.value35&gt;FirstPageInRange.FirstPageInRange&lt;/citation.value35&gt;&lt;citation.key36&gt;Reporter.__PinPages.First.__PageNumber&lt;/citation.key36&gt;&lt;citation.value36&gt;186&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First Interstate Bank of Denver , N.A.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7[0]" w:val="&lt;#1&gt;&lt;citation&gt;&lt;citation._original_string&gt;Hamdan v. Rumsfeld, 548 U.S. 557, 578 (2006)&lt;/citation._original_string&gt;&lt;citation._current_string&gt;Hamdan v. Rumsfeld, 548 U.S. 557, 578 (2006)&lt;/citation._current_string&gt;&lt;citation._full_string&gt;Hamdan v. Rumsfeld, 548 U.S. 557, 578 (2006)&lt;/citation._full_string&gt;&lt;citation._current_format&gt;Full.CaseCitation&lt;/citation._current_format&gt;&lt;citation.name&gt;&lt;/citation.name&gt;&lt;citation.key0&gt;,&lt;/citation.key0&gt;&lt;citation.value0&gt;,&lt;/citation.value0&gt;&lt;citation.key1&gt;CaseName.FirstParty.Party&lt;/citation.key1&gt;&lt;citation.value1&gt;Hamdan&lt;/citation.value1&gt;&lt;citation.key2&gt;CaseName.FirstParty._Pattern&lt;/citation.key2&gt;&lt;citation.value2&gt;Party.Party&lt;/citation.value2&gt;&lt;citation.key3&gt;CaseName.SecondParty.Party&lt;/citation.key3&gt;&lt;citation.value3&gt;Rumsfeld&lt;/citation.value3&gt;&lt;citation.key4&gt;CaseName.SecondParty._Pattern&lt;/citation.key4&gt;&lt;citation.value4&gt;Party.Party&lt;/citation.value4&gt;&lt;citation.key5&gt;CourtParenthetical&lt;/citation.key5&gt;&lt;citation.value5&gt; (2006) &lt;/citation.value5&gt;&lt;citation.key6&gt;CourtParenthetical.Date.Year.Year&lt;/citation.key6&gt;&lt;citation.value6&gt;2006&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Hamdan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48 U.S. 557, 578&lt;/citation.value23&gt;&lt;citation.key24&gt;Reporter.FirstPage&lt;/citation.key24&gt;&lt;citation.value24&gt;557&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48&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578&lt;/citation.value33&gt;&lt;citation.key34&gt;Reporter.__PinPages.First&lt;/citation.key34&gt;&lt;citation.value34&gt;578&lt;/citation.value34&gt;&lt;citation.key35&gt;Reporter.__PinPages.First._Pattern&lt;/citation.key35&gt;&lt;citation.value35&gt;FirstPageInRange.FirstPageInRange&lt;/citation.value35&gt;&lt;citation.key36&gt;Reporter.__PinPages.First.__PageNumber&lt;/citation.key36&gt;&lt;citation.value36&gt;578&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Rumsfeld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8[0]" w:val="&lt;#1&gt;&lt;citation&gt;&lt;citation._original_string&gt;Nat'l Credit Union Admin. v. First Nat. Bank &amp; Trust Co., 522 U.S. 479, 501 (1998)&lt;/citation._original_string&gt;&lt;citation._current_string&gt;Nat'l Credit Union Admin. v. First Nat'l Bank &amp; Trust Co., 522 U.S. 479, 501 (1998)&lt;/citation._current_string&gt;&lt;citation._full_string&gt;Nat'l Credit Union Admin. v. First Nat'l Bank &amp; Trust Co., 522 U.S. 479, 501 (1998)&lt;/citation._full_string&gt;&lt;citation._current_format&gt;Full.CaseCitation&lt;/citation._current_format&gt;&lt;citation.name&gt;&lt;/citation.name&gt;&lt;citation.key0&gt;,&lt;/citation.key0&gt;&lt;citation.value0&gt;,&lt;/citation.value0&gt;&lt;citation.key1&gt;CaseName.FirstParty.Party&lt;/citation.key1&gt;&lt;citation.value1&gt;National Credit Union Administration&lt;/citation.value1&gt;&lt;citation.key2&gt;CaseName.FirstParty._Pattern&lt;/citation.key2&gt;&lt;citation.value2&gt;Party.Party&lt;/citation.value2&gt;&lt;citation.key3&gt;CaseName.SecondParty.Party&lt;/citation.key3&gt;&lt;citation.value3&gt;First National Bank &amp; Trust Co.&lt;/citation.value3&gt;&lt;citation.key4&gt;CaseName.SecondParty._Pattern&lt;/citation.key4&gt;&lt;citation.value4&gt;Party.Party&lt;/citation.value4&gt;&lt;citation.key5&gt;CourtParenthetical&lt;/citation.key5&gt;&lt;citation.value5&gt; (1998) &lt;/citation.value5&gt;&lt;citation.key6&gt;CourtParenthetical.Date.Year.Year&lt;/citation.key6&gt;&lt;citation.value6&gt;1998&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Nat'l Credit Union Admin.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22 U.S. 479, 501&lt;/citation.value23&gt;&lt;citation.key24&gt;Reporter.FirstPage&lt;/citation.key24&gt;&lt;citation.value24&gt;479&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22&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501&lt;/citation.value33&gt;&lt;citation.key34&gt;Reporter.__PinPages.First&lt;/citation.key34&gt;&lt;citation.value34&gt;501&lt;/citation.value34&gt;&lt;citation.key35&gt;Reporter.__PinPages.First._Pattern&lt;/citation.key35&gt;&lt;citation.value35&gt;FirstPageInRange.FirstPageInRange&lt;/citation.value35&gt;&lt;citation.key36&gt;Reporter.__PinPages.First.__PageNumber&lt;/citation.key36&gt;&lt;citation.value36&gt;501&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First Nat'l Bank &amp; Trust Co.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s>
  <w:rsids>
    <w:rsidRoot w:val="002635EE"/>
    <w:rsid w:val="00001F2E"/>
    <w:rsid w:val="0002777C"/>
    <w:rsid w:val="00033E5C"/>
    <w:rsid w:val="0005231B"/>
    <w:rsid w:val="000A19F8"/>
    <w:rsid w:val="000B690A"/>
    <w:rsid w:val="000C0566"/>
    <w:rsid w:val="000D3423"/>
    <w:rsid w:val="000D76F0"/>
    <w:rsid w:val="00103DBF"/>
    <w:rsid w:val="001044DB"/>
    <w:rsid w:val="001245DD"/>
    <w:rsid w:val="00134B53"/>
    <w:rsid w:val="001450FA"/>
    <w:rsid w:val="00157960"/>
    <w:rsid w:val="00161473"/>
    <w:rsid w:val="001837F5"/>
    <w:rsid w:val="001A131D"/>
    <w:rsid w:val="001A42AD"/>
    <w:rsid w:val="001A5528"/>
    <w:rsid w:val="001B09FA"/>
    <w:rsid w:val="001B2179"/>
    <w:rsid w:val="001D0CB4"/>
    <w:rsid w:val="001D32E3"/>
    <w:rsid w:val="001D5CBE"/>
    <w:rsid w:val="001E3F28"/>
    <w:rsid w:val="001E77A4"/>
    <w:rsid w:val="002049DE"/>
    <w:rsid w:val="00213019"/>
    <w:rsid w:val="00224CA6"/>
    <w:rsid w:val="00236183"/>
    <w:rsid w:val="00241125"/>
    <w:rsid w:val="0024341F"/>
    <w:rsid w:val="00243F59"/>
    <w:rsid w:val="00244EE4"/>
    <w:rsid w:val="00252AD2"/>
    <w:rsid w:val="00256E6B"/>
    <w:rsid w:val="00260CF5"/>
    <w:rsid w:val="002635EE"/>
    <w:rsid w:val="00284056"/>
    <w:rsid w:val="0029253D"/>
    <w:rsid w:val="002929E1"/>
    <w:rsid w:val="002A22CA"/>
    <w:rsid w:val="002B65E2"/>
    <w:rsid w:val="002C4CC5"/>
    <w:rsid w:val="002E26D5"/>
    <w:rsid w:val="002F76FA"/>
    <w:rsid w:val="00304D39"/>
    <w:rsid w:val="003224BF"/>
    <w:rsid w:val="003234E7"/>
    <w:rsid w:val="00361036"/>
    <w:rsid w:val="00362C97"/>
    <w:rsid w:val="003725D9"/>
    <w:rsid w:val="003832FC"/>
    <w:rsid w:val="00386ED6"/>
    <w:rsid w:val="00394243"/>
    <w:rsid w:val="003D577B"/>
    <w:rsid w:val="0040689C"/>
    <w:rsid w:val="00406E90"/>
    <w:rsid w:val="00411009"/>
    <w:rsid w:val="004208B8"/>
    <w:rsid w:val="0043400A"/>
    <w:rsid w:val="00437261"/>
    <w:rsid w:val="004A4069"/>
    <w:rsid w:val="004A4A27"/>
    <w:rsid w:val="004A4A84"/>
    <w:rsid w:val="004B7434"/>
    <w:rsid w:val="004C5731"/>
    <w:rsid w:val="004D28CD"/>
    <w:rsid w:val="004E2086"/>
    <w:rsid w:val="0052289C"/>
    <w:rsid w:val="005363F7"/>
    <w:rsid w:val="005464E4"/>
    <w:rsid w:val="00547064"/>
    <w:rsid w:val="005524D1"/>
    <w:rsid w:val="005530EA"/>
    <w:rsid w:val="0055797E"/>
    <w:rsid w:val="00591AF8"/>
    <w:rsid w:val="005936DE"/>
    <w:rsid w:val="00595662"/>
    <w:rsid w:val="00596D6B"/>
    <w:rsid w:val="005B054F"/>
    <w:rsid w:val="005B47AC"/>
    <w:rsid w:val="005C2852"/>
    <w:rsid w:val="005D457A"/>
    <w:rsid w:val="005E18AE"/>
    <w:rsid w:val="006112CA"/>
    <w:rsid w:val="006222A5"/>
    <w:rsid w:val="006515DE"/>
    <w:rsid w:val="006539F7"/>
    <w:rsid w:val="006645C1"/>
    <w:rsid w:val="0067143B"/>
    <w:rsid w:val="006748D3"/>
    <w:rsid w:val="00681BB1"/>
    <w:rsid w:val="006A4AD1"/>
    <w:rsid w:val="006C0BE6"/>
    <w:rsid w:val="006D148F"/>
    <w:rsid w:val="006E291A"/>
    <w:rsid w:val="006F3336"/>
    <w:rsid w:val="006F335D"/>
    <w:rsid w:val="006F60DC"/>
    <w:rsid w:val="00702AF2"/>
    <w:rsid w:val="00711399"/>
    <w:rsid w:val="0071576D"/>
    <w:rsid w:val="007339F9"/>
    <w:rsid w:val="00767BA4"/>
    <w:rsid w:val="007712DD"/>
    <w:rsid w:val="00773055"/>
    <w:rsid w:val="007878D4"/>
    <w:rsid w:val="00794080"/>
    <w:rsid w:val="00797747"/>
    <w:rsid w:val="007A2089"/>
    <w:rsid w:val="007A726D"/>
    <w:rsid w:val="007B4C5D"/>
    <w:rsid w:val="007E32DE"/>
    <w:rsid w:val="007F14F5"/>
    <w:rsid w:val="00806616"/>
    <w:rsid w:val="00825793"/>
    <w:rsid w:val="00846833"/>
    <w:rsid w:val="00873B48"/>
    <w:rsid w:val="008916E3"/>
    <w:rsid w:val="008B286F"/>
    <w:rsid w:val="008B533D"/>
    <w:rsid w:val="008C2B11"/>
    <w:rsid w:val="008D3544"/>
    <w:rsid w:val="008D5DFB"/>
    <w:rsid w:val="008F2497"/>
    <w:rsid w:val="009021BC"/>
    <w:rsid w:val="00916F86"/>
    <w:rsid w:val="009240E5"/>
    <w:rsid w:val="009310E7"/>
    <w:rsid w:val="009361EC"/>
    <w:rsid w:val="00962084"/>
    <w:rsid w:val="0097456D"/>
    <w:rsid w:val="00976866"/>
    <w:rsid w:val="00980707"/>
    <w:rsid w:val="009B0ED5"/>
    <w:rsid w:val="009B2264"/>
    <w:rsid w:val="009B411F"/>
    <w:rsid w:val="009C63E8"/>
    <w:rsid w:val="00A2562B"/>
    <w:rsid w:val="00A418B5"/>
    <w:rsid w:val="00A4471D"/>
    <w:rsid w:val="00A546AA"/>
    <w:rsid w:val="00A64D6A"/>
    <w:rsid w:val="00A674BD"/>
    <w:rsid w:val="00A700CB"/>
    <w:rsid w:val="00AA787C"/>
    <w:rsid w:val="00AB44C6"/>
    <w:rsid w:val="00AB759E"/>
    <w:rsid w:val="00AE2FAA"/>
    <w:rsid w:val="00AF2A14"/>
    <w:rsid w:val="00AF571F"/>
    <w:rsid w:val="00B022AF"/>
    <w:rsid w:val="00B72A35"/>
    <w:rsid w:val="00B8644E"/>
    <w:rsid w:val="00B97A0A"/>
    <w:rsid w:val="00BA2B2A"/>
    <w:rsid w:val="00BD6491"/>
    <w:rsid w:val="00BE6658"/>
    <w:rsid w:val="00BF5493"/>
    <w:rsid w:val="00C02B35"/>
    <w:rsid w:val="00C07D24"/>
    <w:rsid w:val="00C13561"/>
    <w:rsid w:val="00C13829"/>
    <w:rsid w:val="00C367E9"/>
    <w:rsid w:val="00C3689D"/>
    <w:rsid w:val="00C41690"/>
    <w:rsid w:val="00C45E6E"/>
    <w:rsid w:val="00C533EE"/>
    <w:rsid w:val="00C654D0"/>
    <w:rsid w:val="00C72159"/>
    <w:rsid w:val="00C72C95"/>
    <w:rsid w:val="00CA003C"/>
    <w:rsid w:val="00CB1B13"/>
    <w:rsid w:val="00CB1C25"/>
    <w:rsid w:val="00CB3999"/>
    <w:rsid w:val="00CB7452"/>
    <w:rsid w:val="00CD1C52"/>
    <w:rsid w:val="00CE352A"/>
    <w:rsid w:val="00D010EF"/>
    <w:rsid w:val="00D13E5B"/>
    <w:rsid w:val="00D14C2E"/>
    <w:rsid w:val="00D27807"/>
    <w:rsid w:val="00D30BBD"/>
    <w:rsid w:val="00D33BC2"/>
    <w:rsid w:val="00D52101"/>
    <w:rsid w:val="00D55348"/>
    <w:rsid w:val="00D57D26"/>
    <w:rsid w:val="00D85DF7"/>
    <w:rsid w:val="00D86DD1"/>
    <w:rsid w:val="00DA0A8C"/>
    <w:rsid w:val="00DA4E36"/>
    <w:rsid w:val="00DA65EC"/>
    <w:rsid w:val="00DB2CA9"/>
    <w:rsid w:val="00DC0467"/>
    <w:rsid w:val="00DC2F7D"/>
    <w:rsid w:val="00DC7A1E"/>
    <w:rsid w:val="00DD41FB"/>
    <w:rsid w:val="00DE0875"/>
    <w:rsid w:val="00DE3325"/>
    <w:rsid w:val="00DE6E2C"/>
    <w:rsid w:val="00DF5694"/>
    <w:rsid w:val="00DF68B7"/>
    <w:rsid w:val="00E03EFC"/>
    <w:rsid w:val="00E226DD"/>
    <w:rsid w:val="00E46627"/>
    <w:rsid w:val="00E55CD7"/>
    <w:rsid w:val="00E57385"/>
    <w:rsid w:val="00E65312"/>
    <w:rsid w:val="00E737EC"/>
    <w:rsid w:val="00E77764"/>
    <w:rsid w:val="00E80551"/>
    <w:rsid w:val="00EA297F"/>
    <w:rsid w:val="00EB0EE0"/>
    <w:rsid w:val="00EB5DA8"/>
    <w:rsid w:val="00EC3AED"/>
    <w:rsid w:val="00EC65DA"/>
    <w:rsid w:val="00ED71F9"/>
    <w:rsid w:val="00EE5CC3"/>
    <w:rsid w:val="00F0063F"/>
    <w:rsid w:val="00F12560"/>
    <w:rsid w:val="00F12CDD"/>
    <w:rsid w:val="00F156E7"/>
    <w:rsid w:val="00F1648D"/>
    <w:rsid w:val="00F36783"/>
    <w:rsid w:val="00F379C4"/>
    <w:rsid w:val="00F44AEE"/>
    <w:rsid w:val="00F552EB"/>
    <w:rsid w:val="00F61AF8"/>
    <w:rsid w:val="00F656BE"/>
    <w:rsid w:val="00F75C7F"/>
    <w:rsid w:val="00F77EB3"/>
    <w:rsid w:val="00FB6BF3"/>
    <w:rsid w:val="00FC14C0"/>
    <w:rsid w:val="00FC2F65"/>
    <w:rsid w:val="00FE41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AEC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228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2289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2289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2289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2289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2289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2289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2289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2289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0BE6"/>
    <w:pPr>
      <w:ind w:left="720"/>
      <w:contextualSpacing/>
    </w:pPr>
  </w:style>
  <w:style w:type="character" w:styleId="Hyperlink">
    <w:name w:val="Hyperlink"/>
    <w:basedOn w:val="DefaultParagraphFont"/>
    <w:uiPriority w:val="99"/>
    <w:unhideWhenUsed/>
    <w:rsid w:val="006C0BE6"/>
    <w:rPr>
      <w:color w:val="0000FF" w:themeColor="hyperlink"/>
      <w:u w:val="single"/>
    </w:rPr>
  </w:style>
  <w:style w:type="paragraph" w:styleId="CommentText">
    <w:name w:val="annotation text"/>
    <w:basedOn w:val="Normal"/>
    <w:link w:val="CommentTextChar"/>
    <w:uiPriority w:val="99"/>
    <w:semiHidden/>
    <w:unhideWhenUsed/>
    <w:rsid w:val="006C0BE6"/>
    <w:rPr>
      <w:sz w:val="20"/>
      <w:szCs w:val="20"/>
    </w:rPr>
  </w:style>
  <w:style w:type="character" w:customStyle="1" w:styleId="CommentTextChar">
    <w:name w:val="Comment Text Char"/>
    <w:basedOn w:val="DefaultParagraphFont"/>
    <w:link w:val="CommentText"/>
    <w:uiPriority w:val="99"/>
    <w:semiHidden/>
    <w:rsid w:val="006C0BE6"/>
    <w:rPr>
      <w:sz w:val="20"/>
      <w:szCs w:val="20"/>
    </w:rPr>
  </w:style>
  <w:style w:type="character" w:styleId="CommentReference">
    <w:name w:val="annotation reference"/>
    <w:basedOn w:val="DefaultParagraphFont"/>
    <w:uiPriority w:val="99"/>
    <w:semiHidden/>
    <w:unhideWhenUsed/>
    <w:rsid w:val="006C0BE6"/>
    <w:rPr>
      <w:sz w:val="16"/>
      <w:szCs w:val="16"/>
    </w:rPr>
  </w:style>
  <w:style w:type="paragraph" w:styleId="BalloonText">
    <w:name w:val="Balloon Text"/>
    <w:basedOn w:val="Normal"/>
    <w:link w:val="BalloonTextChar"/>
    <w:uiPriority w:val="99"/>
    <w:semiHidden/>
    <w:unhideWhenUsed/>
    <w:rsid w:val="006C0BE6"/>
    <w:rPr>
      <w:rFonts w:ascii="Tahoma" w:hAnsi="Tahoma" w:cs="Tahoma"/>
      <w:sz w:val="16"/>
      <w:szCs w:val="16"/>
    </w:rPr>
  </w:style>
  <w:style w:type="character" w:customStyle="1" w:styleId="BalloonTextChar">
    <w:name w:val="Balloon Text Char"/>
    <w:basedOn w:val="DefaultParagraphFont"/>
    <w:link w:val="BalloonText"/>
    <w:uiPriority w:val="99"/>
    <w:semiHidden/>
    <w:rsid w:val="006C0BE6"/>
    <w:rPr>
      <w:rFonts w:ascii="Tahoma" w:hAnsi="Tahoma" w:cs="Tahoma"/>
      <w:sz w:val="16"/>
      <w:szCs w:val="16"/>
    </w:rPr>
  </w:style>
  <w:style w:type="character" w:styleId="Strong">
    <w:name w:val="Strong"/>
    <w:basedOn w:val="DefaultParagraphFont"/>
    <w:uiPriority w:val="22"/>
    <w:qFormat/>
    <w:rsid w:val="006C0BE6"/>
    <w:rPr>
      <w:b/>
      <w:bCs/>
    </w:rPr>
  </w:style>
  <w:style w:type="paragraph" w:styleId="CommentSubject">
    <w:name w:val="annotation subject"/>
    <w:basedOn w:val="CommentText"/>
    <w:next w:val="CommentText"/>
    <w:link w:val="CommentSubjectChar"/>
    <w:uiPriority w:val="99"/>
    <w:semiHidden/>
    <w:unhideWhenUsed/>
    <w:rsid w:val="006C0BE6"/>
    <w:rPr>
      <w:b/>
      <w:bCs/>
    </w:rPr>
  </w:style>
  <w:style w:type="character" w:customStyle="1" w:styleId="CommentSubjectChar">
    <w:name w:val="Comment Subject Char"/>
    <w:basedOn w:val="CommentTextChar"/>
    <w:link w:val="CommentSubject"/>
    <w:uiPriority w:val="99"/>
    <w:semiHidden/>
    <w:rsid w:val="006C0BE6"/>
    <w:rPr>
      <w:b/>
      <w:bCs/>
      <w:sz w:val="20"/>
      <w:szCs w:val="20"/>
    </w:rPr>
  </w:style>
  <w:style w:type="paragraph" w:styleId="Header">
    <w:name w:val="header"/>
    <w:basedOn w:val="Normal"/>
    <w:link w:val="HeaderChar"/>
    <w:uiPriority w:val="99"/>
    <w:unhideWhenUsed/>
    <w:rsid w:val="006C0BE6"/>
    <w:pPr>
      <w:tabs>
        <w:tab w:val="center" w:pos="4680"/>
        <w:tab w:val="right" w:pos="9360"/>
      </w:tabs>
    </w:pPr>
  </w:style>
  <w:style w:type="character" w:customStyle="1" w:styleId="HeaderChar">
    <w:name w:val="Header Char"/>
    <w:basedOn w:val="DefaultParagraphFont"/>
    <w:link w:val="Header"/>
    <w:uiPriority w:val="99"/>
    <w:rsid w:val="006C0BE6"/>
  </w:style>
  <w:style w:type="paragraph" w:styleId="Footer">
    <w:name w:val="footer"/>
    <w:basedOn w:val="Normal"/>
    <w:link w:val="FooterChar"/>
    <w:uiPriority w:val="99"/>
    <w:unhideWhenUsed/>
    <w:rsid w:val="006C0BE6"/>
    <w:pPr>
      <w:tabs>
        <w:tab w:val="center" w:pos="4680"/>
        <w:tab w:val="right" w:pos="9360"/>
      </w:tabs>
    </w:pPr>
  </w:style>
  <w:style w:type="character" w:customStyle="1" w:styleId="FooterChar">
    <w:name w:val="Footer Char"/>
    <w:basedOn w:val="DefaultParagraphFont"/>
    <w:link w:val="Footer"/>
    <w:uiPriority w:val="99"/>
    <w:rsid w:val="006C0BE6"/>
  </w:style>
  <w:style w:type="character" w:customStyle="1" w:styleId="Heading9Char">
    <w:name w:val="Heading 9 Char"/>
    <w:basedOn w:val="DefaultParagraphFont"/>
    <w:link w:val="Heading9"/>
    <w:uiPriority w:val="9"/>
    <w:semiHidden/>
    <w:rsid w:val="0052289C"/>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52289C"/>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52289C"/>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52289C"/>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52289C"/>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52289C"/>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52289C"/>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52289C"/>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52289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228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2289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2289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2289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2289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2289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2289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2289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2289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0BE6"/>
    <w:pPr>
      <w:ind w:left="720"/>
      <w:contextualSpacing/>
    </w:pPr>
  </w:style>
  <w:style w:type="character" w:styleId="Hyperlink">
    <w:name w:val="Hyperlink"/>
    <w:basedOn w:val="DefaultParagraphFont"/>
    <w:uiPriority w:val="99"/>
    <w:unhideWhenUsed/>
    <w:rsid w:val="006C0BE6"/>
    <w:rPr>
      <w:color w:val="0000FF" w:themeColor="hyperlink"/>
      <w:u w:val="single"/>
    </w:rPr>
  </w:style>
  <w:style w:type="paragraph" w:styleId="CommentText">
    <w:name w:val="annotation text"/>
    <w:basedOn w:val="Normal"/>
    <w:link w:val="CommentTextChar"/>
    <w:uiPriority w:val="99"/>
    <w:semiHidden/>
    <w:unhideWhenUsed/>
    <w:rsid w:val="006C0BE6"/>
    <w:rPr>
      <w:sz w:val="20"/>
      <w:szCs w:val="20"/>
    </w:rPr>
  </w:style>
  <w:style w:type="character" w:customStyle="1" w:styleId="CommentTextChar">
    <w:name w:val="Comment Text Char"/>
    <w:basedOn w:val="DefaultParagraphFont"/>
    <w:link w:val="CommentText"/>
    <w:uiPriority w:val="99"/>
    <w:semiHidden/>
    <w:rsid w:val="006C0BE6"/>
    <w:rPr>
      <w:sz w:val="20"/>
      <w:szCs w:val="20"/>
    </w:rPr>
  </w:style>
  <w:style w:type="character" w:styleId="CommentReference">
    <w:name w:val="annotation reference"/>
    <w:basedOn w:val="DefaultParagraphFont"/>
    <w:uiPriority w:val="99"/>
    <w:semiHidden/>
    <w:unhideWhenUsed/>
    <w:rsid w:val="006C0BE6"/>
    <w:rPr>
      <w:sz w:val="16"/>
      <w:szCs w:val="16"/>
    </w:rPr>
  </w:style>
  <w:style w:type="paragraph" w:styleId="BalloonText">
    <w:name w:val="Balloon Text"/>
    <w:basedOn w:val="Normal"/>
    <w:link w:val="BalloonTextChar"/>
    <w:uiPriority w:val="99"/>
    <w:semiHidden/>
    <w:unhideWhenUsed/>
    <w:rsid w:val="006C0BE6"/>
    <w:rPr>
      <w:rFonts w:ascii="Tahoma" w:hAnsi="Tahoma" w:cs="Tahoma"/>
      <w:sz w:val="16"/>
      <w:szCs w:val="16"/>
    </w:rPr>
  </w:style>
  <w:style w:type="character" w:customStyle="1" w:styleId="BalloonTextChar">
    <w:name w:val="Balloon Text Char"/>
    <w:basedOn w:val="DefaultParagraphFont"/>
    <w:link w:val="BalloonText"/>
    <w:uiPriority w:val="99"/>
    <w:semiHidden/>
    <w:rsid w:val="006C0BE6"/>
    <w:rPr>
      <w:rFonts w:ascii="Tahoma" w:hAnsi="Tahoma" w:cs="Tahoma"/>
      <w:sz w:val="16"/>
      <w:szCs w:val="16"/>
    </w:rPr>
  </w:style>
  <w:style w:type="character" w:styleId="Strong">
    <w:name w:val="Strong"/>
    <w:basedOn w:val="DefaultParagraphFont"/>
    <w:uiPriority w:val="22"/>
    <w:qFormat/>
    <w:rsid w:val="006C0BE6"/>
    <w:rPr>
      <w:b/>
      <w:bCs/>
    </w:rPr>
  </w:style>
  <w:style w:type="paragraph" w:styleId="CommentSubject">
    <w:name w:val="annotation subject"/>
    <w:basedOn w:val="CommentText"/>
    <w:next w:val="CommentText"/>
    <w:link w:val="CommentSubjectChar"/>
    <w:uiPriority w:val="99"/>
    <w:semiHidden/>
    <w:unhideWhenUsed/>
    <w:rsid w:val="006C0BE6"/>
    <w:rPr>
      <w:b/>
      <w:bCs/>
    </w:rPr>
  </w:style>
  <w:style w:type="character" w:customStyle="1" w:styleId="CommentSubjectChar">
    <w:name w:val="Comment Subject Char"/>
    <w:basedOn w:val="CommentTextChar"/>
    <w:link w:val="CommentSubject"/>
    <w:uiPriority w:val="99"/>
    <w:semiHidden/>
    <w:rsid w:val="006C0BE6"/>
    <w:rPr>
      <w:b/>
      <w:bCs/>
      <w:sz w:val="20"/>
      <w:szCs w:val="20"/>
    </w:rPr>
  </w:style>
  <w:style w:type="paragraph" w:styleId="Header">
    <w:name w:val="header"/>
    <w:basedOn w:val="Normal"/>
    <w:link w:val="HeaderChar"/>
    <w:uiPriority w:val="99"/>
    <w:unhideWhenUsed/>
    <w:rsid w:val="006C0BE6"/>
    <w:pPr>
      <w:tabs>
        <w:tab w:val="center" w:pos="4680"/>
        <w:tab w:val="right" w:pos="9360"/>
      </w:tabs>
    </w:pPr>
  </w:style>
  <w:style w:type="character" w:customStyle="1" w:styleId="HeaderChar">
    <w:name w:val="Header Char"/>
    <w:basedOn w:val="DefaultParagraphFont"/>
    <w:link w:val="Header"/>
    <w:uiPriority w:val="99"/>
    <w:rsid w:val="006C0BE6"/>
  </w:style>
  <w:style w:type="paragraph" w:styleId="Footer">
    <w:name w:val="footer"/>
    <w:basedOn w:val="Normal"/>
    <w:link w:val="FooterChar"/>
    <w:uiPriority w:val="99"/>
    <w:unhideWhenUsed/>
    <w:rsid w:val="006C0BE6"/>
    <w:pPr>
      <w:tabs>
        <w:tab w:val="center" w:pos="4680"/>
        <w:tab w:val="right" w:pos="9360"/>
      </w:tabs>
    </w:pPr>
  </w:style>
  <w:style w:type="character" w:customStyle="1" w:styleId="FooterChar">
    <w:name w:val="Footer Char"/>
    <w:basedOn w:val="DefaultParagraphFont"/>
    <w:link w:val="Footer"/>
    <w:uiPriority w:val="99"/>
    <w:rsid w:val="006C0BE6"/>
  </w:style>
  <w:style w:type="character" w:customStyle="1" w:styleId="Heading9Char">
    <w:name w:val="Heading 9 Char"/>
    <w:basedOn w:val="DefaultParagraphFont"/>
    <w:link w:val="Heading9"/>
    <w:uiPriority w:val="9"/>
    <w:semiHidden/>
    <w:rsid w:val="0052289C"/>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52289C"/>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52289C"/>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52289C"/>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52289C"/>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52289C"/>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52289C"/>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52289C"/>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52289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68944">
      <w:bodyDiv w:val="1"/>
      <w:marLeft w:val="0"/>
      <w:marRight w:val="0"/>
      <w:marTop w:val="0"/>
      <w:marBottom w:val="0"/>
      <w:divBdr>
        <w:top w:val="none" w:sz="0" w:space="0" w:color="auto"/>
        <w:left w:val="none" w:sz="0" w:space="0" w:color="auto"/>
        <w:bottom w:val="none" w:sz="0" w:space="0" w:color="auto"/>
        <w:right w:val="none" w:sz="0" w:space="0" w:color="auto"/>
      </w:divBdr>
      <w:divsChild>
        <w:div w:id="2124838870">
          <w:marLeft w:val="0"/>
          <w:marRight w:val="0"/>
          <w:marTop w:val="0"/>
          <w:marBottom w:val="0"/>
          <w:divBdr>
            <w:top w:val="none" w:sz="0" w:space="0" w:color="auto"/>
            <w:left w:val="none" w:sz="0" w:space="0" w:color="auto"/>
            <w:bottom w:val="none" w:sz="0" w:space="0" w:color="auto"/>
            <w:right w:val="none" w:sz="0" w:space="0" w:color="auto"/>
          </w:divBdr>
          <w:divsChild>
            <w:div w:id="14461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10266">
      <w:bodyDiv w:val="1"/>
      <w:marLeft w:val="0"/>
      <w:marRight w:val="0"/>
      <w:marTop w:val="0"/>
      <w:marBottom w:val="0"/>
      <w:divBdr>
        <w:top w:val="none" w:sz="0" w:space="0" w:color="auto"/>
        <w:left w:val="none" w:sz="0" w:space="0" w:color="auto"/>
        <w:bottom w:val="none" w:sz="0" w:space="0" w:color="auto"/>
        <w:right w:val="none" w:sz="0" w:space="0" w:color="auto"/>
      </w:divBdr>
      <w:divsChild>
        <w:div w:id="955791364">
          <w:marLeft w:val="0"/>
          <w:marRight w:val="0"/>
          <w:marTop w:val="0"/>
          <w:marBottom w:val="0"/>
          <w:divBdr>
            <w:top w:val="none" w:sz="0" w:space="0" w:color="auto"/>
            <w:left w:val="none" w:sz="0" w:space="0" w:color="auto"/>
            <w:bottom w:val="none" w:sz="0" w:space="0" w:color="auto"/>
            <w:right w:val="none" w:sz="0" w:space="0" w:color="auto"/>
          </w:divBdr>
          <w:divsChild>
            <w:div w:id="95174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40649">
      <w:bodyDiv w:val="1"/>
      <w:marLeft w:val="0"/>
      <w:marRight w:val="0"/>
      <w:marTop w:val="0"/>
      <w:marBottom w:val="0"/>
      <w:divBdr>
        <w:top w:val="none" w:sz="0" w:space="0" w:color="auto"/>
        <w:left w:val="none" w:sz="0" w:space="0" w:color="auto"/>
        <w:bottom w:val="none" w:sz="0" w:space="0" w:color="auto"/>
        <w:right w:val="none" w:sz="0" w:space="0" w:color="auto"/>
      </w:divBdr>
      <w:divsChild>
        <w:div w:id="444352964">
          <w:marLeft w:val="0"/>
          <w:marRight w:val="0"/>
          <w:marTop w:val="0"/>
          <w:marBottom w:val="0"/>
          <w:divBdr>
            <w:top w:val="none" w:sz="0" w:space="0" w:color="auto"/>
            <w:left w:val="none" w:sz="0" w:space="0" w:color="auto"/>
            <w:bottom w:val="none" w:sz="0" w:space="0" w:color="auto"/>
            <w:right w:val="none" w:sz="0" w:space="0" w:color="auto"/>
          </w:divBdr>
          <w:divsChild>
            <w:div w:id="84386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80270">
      <w:bodyDiv w:val="1"/>
      <w:marLeft w:val="0"/>
      <w:marRight w:val="0"/>
      <w:marTop w:val="0"/>
      <w:marBottom w:val="0"/>
      <w:divBdr>
        <w:top w:val="none" w:sz="0" w:space="0" w:color="auto"/>
        <w:left w:val="none" w:sz="0" w:space="0" w:color="auto"/>
        <w:bottom w:val="none" w:sz="0" w:space="0" w:color="auto"/>
        <w:right w:val="none" w:sz="0" w:space="0" w:color="auto"/>
      </w:divBdr>
      <w:divsChild>
        <w:div w:id="284167573">
          <w:marLeft w:val="0"/>
          <w:marRight w:val="0"/>
          <w:marTop w:val="0"/>
          <w:marBottom w:val="0"/>
          <w:divBdr>
            <w:top w:val="none" w:sz="0" w:space="0" w:color="auto"/>
            <w:left w:val="none" w:sz="0" w:space="0" w:color="auto"/>
            <w:bottom w:val="none" w:sz="0" w:space="0" w:color="auto"/>
            <w:right w:val="none" w:sz="0" w:space="0" w:color="auto"/>
          </w:divBdr>
          <w:divsChild>
            <w:div w:id="16894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30767">
      <w:bodyDiv w:val="1"/>
      <w:marLeft w:val="0"/>
      <w:marRight w:val="0"/>
      <w:marTop w:val="0"/>
      <w:marBottom w:val="0"/>
      <w:divBdr>
        <w:top w:val="none" w:sz="0" w:space="0" w:color="auto"/>
        <w:left w:val="none" w:sz="0" w:space="0" w:color="auto"/>
        <w:bottom w:val="none" w:sz="0" w:space="0" w:color="auto"/>
        <w:right w:val="none" w:sz="0" w:space="0" w:color="auto"/>
      </w:divBdr>
      <w:divsChild>
        <w:div w:id="1329792971">
          <w:marLeft w:val="0"/>
          <w:marRight w:val="0"/>
          <w:marTop w:val="0"/>
          <w:marBottom w:val="0"/>
          <w:divBdr>
            <w:top w:val="none" w:sz="0" w:space="0" w:color="auto"/>
            <w:left w:val="none" w:sz="0" w:space="0" w:color="auto"/>
            <w:bottom w:val="none" w:sz="0" w:space="0" w:color="auto"/>
            <w:right w:val="none" w:sz="0" w:space="0" w:color="auto"/>
          </w:divBdr>
          <w:divsChild>
            <w:div w:id="117345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894343">
      <w:bodyDiv w:val="1"/>
      <w:marLeft w:val="0"/>
      <w:marRight w:val="0"/>
      <w:marTop w:val="0"/>
      <w:marBottom w:val="0"/>
      <w:divBdr>
        <w:top w:val="none" w:sz="0" w:space="0" w:color="auto"/>
        <w:left w:val="none" w:sz="0" w:space="0" w:color="auto"/>
        <w:bottom w:val="none" w:sz="0" w:space="0" w:color="auto"/>
        <w:right w:val="none" w:sz="0" w:space="0" w:color="auto"/>
      </w:divBdr>
      <w:divsChild>
        <w:div w:id="914437077">
          <w:marLeft w:val="0"/>
          <w:marRight w:val="0"/>
          <w:marTop w:val="0"/>
          <w:marBottom w:val="0"/>
          <w:divBdr>
            <w:top w:val="none" w:sz="0" w:space="0" w:color="auto"/>
            <w:left w:val="none" w:sz="0" w:space="0" w:color="auto"/>
            <w:bottom w:val="none" w:sz="0" w:space="0" w:color="auto"/>
            <w:right w:val="none" w:sz="0" w:space="0" w:color="auto"/>
          </w:divBdr>
          <w:divsChild>
            <w:div w:id="94950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69698">
      <w:bodyDiv w:val="1"/>
      <w:marLeft w:val="0"/>
      <w:marRight w:val="0"/>
      <w:marTop w:val="0"/>
      <w:marBottom w:val="0"/>
      <w:divBdr>
        <w:top w:val="none" w:sz="0" w:space="0" w:color="auto"/>
        <w:left w:val="none" w:sz="0" w:space="0" w:color="auto"/>
        <w:bottom w:val="none" w:sz="0" w:space="0" w:color="auto"/>
        <w:right w:val="none" w:sz="0" w:space="0" w:color="auto"/>
      </w:divBdr>
      <w:divsChild>
        <w:div w:id="933126501">
          <w:marLeft w:val="0"/>
          <w:marRight w:val="0"/>
          <w:marTop w:val="0"/>
          <w:marBottom w:val="0"/>
          <w:divBdr>
            <w:top w:val="none" w:sz="0" w:space="0" w:color="auto"/>
            <w:left w:val="none" w:sz="0" w:space="0" w:color="auto"/>
            <w:bottom w:val="none" w:sz="0" w:space="0" w:color="auto"/>
            <w:right w:val="none" w:sz="0" w:space="0" w:color="auto"/>
          </w:divBdr>
          <w:divsChild>
            <w:div w:id="54089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72603">
      <w:bodyDiv w:val="1"/>
      <w:marLeft w:val="0"/>
      <w:marRight w:val="0"/>
      <w:marTop w:val="0"/>
      <w:marBottom w:val="0"/>
      <w:divBdr>
        <w:top w:val="none" w:sz="0" w:space="0" w:color="auto"/>
        <w:left w:val="none" w:sz="0" w:space="0" w:color="auto"/>
        <w:bottom w:val="none" w:sz="0" w:space="0" w:color="auto"/>
        <w:right w:val="none" w:sz="0" w:space="0" w:color="auto"/>
      </w:divBdr>
      <w:divsChild>
        <w:div w:id="1224947993">
          <w:marLeft w:val="0"/>
          <w:marRight w:val="0"/>
          <w:marTop w:val="0"/>
          <w:marBottom w:val="0"/>
          <w:divBdr>
            <w:top w:val="none" w:sz="0" w:space="0" w:color="auto"/>
            <w:left w:val="none" w:sz="0" w:space="0" w:color="auto"/>
            <w:bottom w:val="none" w:sz="0" w:space="0" w:color="auto"/>
            <w:right w:val="none" w:sz="0" w:space="0" w:color="auto"/>
          </w:divBdr>
          <w:divsChild>
            <w:div w:id="163525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10154">
      <w:bodyDiv w:val="1"/>
      <w:marLeft w:val="0"/>
      <w:marRight w:val="0"/>
      <w:marTop w:val="0"/>
      <w:marBottom w:val="0"/>
      <w:divBdr>
        <w:top w:val="none" w:sz="0" w:space="0" w:color="auto"/>
        <w:left w:val="none" w:sz="0" w:space="0" w:color="auto"/>
        <w:bottom w:val="none" w:sz="0" w:space="0" w:color="auto"/>
        <w:right w:val="none" w:sz="0" w:space="0" w:color="auto"/>
      </w:divBdr>
      <w:divsChild>
        <w:div w:id="2128810950">
          <w:marLeft w:val="0"/>
          <w:marRight w:val="0"/>
          <w:marTop w:val="0"/>
          <w:marBottom w:val="0"/>
          <w:divBdr>
            <w:top w:val="none" w:sz="0" w:space="0" w:color="auto"/>
            <w:left w:val="none" w:sz="0" w:space="0" w:color="auto"/>
            <w:bottom w:val="none" w:sz="0" w:space="0" w:color="auto"/>
            <w:right w:val="none" w:sz="0" w:space="0" w:color="auto"/>
          </w:divBdr>
          <w:divsChild>
            <w:div w:id="103692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932590">
      <w:bodyDiv w:val="1"/>
      <w:marLeft w:val="0"/>
      <w:marRight w:val="0"/>
      <w:marTop w:val="0"/>
      <w:marBottom w:val="0"/>
      <w:divBdr>
        <w:top w:val="none" w:sz="0" w:space="0" w:color="auto"/>
        <w:left w:val="none" w:sz="0" w:space="0" w:color="auto"/>
        <w:bottom w:val="none" w:sz="0" w:space="0" w:color="auto"/>
        <w:right w:val="none" w:sz="0" w:space="0" w:color="auto"/>
      </w:divBdr>
      <w:divsChild>
        <w:div w:id="1523862764">
          <w:marLeft w:val="0"/>
          <w:marRight w:val="0"/>
          <w:marTop w:val="0"/>
          <w:marBottom w:val="0"/>
          <w:divBdr>
            <w:top w:val="none" w:sz="0" w:space="0" w:color="auto"/>
            <w:left w:val="none" w:sz="0" w:space="0" w:color="auto"/>
            <w:bottom w:val="none" w:sz="0" w:space="0" w:color="auto"/>
            <w:right w:val="none" w:sz="0" w:space="0" w:color="auto"/>
          </w:divBdr>
          <w:divsChild>
            <w:div w:id="7888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3575">
      <w:bodyDiv w:val="1"/>
      <w:marLeft w:val="0"/>
      <w:marRight w:val="0"/>
      <w:marTop w:val="0"/>
      <w:marBottom w:val="0"/>
      <w:divBdr>
        <w:top w:val="none" w:sz="0" w:space="0" w:color="auto"/>
        <w:left w:val="none" w:sz="0" w:space="0" w:color="auto"/>
        <w:bottom w:val="none" w:sz="0" w:space="0" w:color="auto"/>
        <w:right w:val="none" w:sz="0" w:space="0" w:color="auto"/>
      </w:divBdr>
      <w:divsChild>
        <w:div w:id="783619111">
          <w:marLeft w:val="0"/>
          <w:marRight w:val="0"/>
          <w:marTop w:val="0"/>
          <w:marBottom w:val="0"/>
          <w:divBdr>
            <w:top w:val="none" w:sz="0" w:space="0" w:color="auto"/>
            <w:left w:val="none" w:sz="0" w:space="0" w:color="auto"/>
            <w:bottom w:val="none" w:sz="0" w:space="0" w:color="auto"/>
            <w:right w:val="none" w:sz="0" w:space="0" w:color="auto"/>
          </w:divBdr>
          <w:divsChild>
            <w:div w:id="67026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92972">
      <w:bodyDiv w:val="1"/>
      <w:marLeft w:val="0"/>
      <w:marRight w:val="0"/>
      <w:marTop w:val="0"/>
      <w:marBottom w:val="0"/>
      <w:divBdr>
        <w:top w:val="none" w:sz="0" w:space="0" w:color="auto"/>
        <w:left w:val="none" w:sz="0" w:space="0" w:color="auto"/>
        <w:bottom w:val="none" w:sz="0" w:space="0" w:color="auto"/>
        <w:right w:val="none" w:sz="0" w:space="0" w:color="auto"/>
      </w:divBdr>
      <w:divsChild>
        <w:div w:id="1279025820">
          <w:marLeft w:val="0"/>
          <w:marRight w:val="0"/>
          <w:marTop w:val="0"/>
          <w:marBottom w:val="0"/>
          <w:divBdr>
            <w:top w:val="none" w:sz="0" w:space="0" w:color="auto"/>
            <w:left w:val="none" w:sz="0" w:space="0" w:color="auto"/>
            <w:bottom w:val="none" w:sz="0" w:space="0" w:color="auto"/>
            <w:right w:val="none" w:sz="0" w:space="0" w:color="auto"/>
          </w:divBdr>
          <w:divsChild>
            <w:div w:id="5711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09743">
      <w:bodyDiv w:val="1"/>
      <w:marLeft w:val="0"/>
      <w:marRight w:val="0"/>
      <w:marTop w:val="0"/>
      <w:marBottom w:val="0"/>
      <w:divBdr>
        <w:top w:val="none" w:sz="0" w:space="0" w:color="auto"/>
        <w:left w:val="none" w:sz="0" w:space="0" w:color="auto"/>
        <w:bottom w:val="none" w:sz="0" w:space="0" w:color="auto"/>
        <w:right w:val="none" w:sz="0" w:space="0" w:color="auto"/>
      </w:divBdr>
      <w:divsChild>
        <w:div w:id="2032678346">
          <w:marLeft w:val="0"/>
          <w:marRight w:val="0"/>
          <w:marTop w:val="0"/>
          <w:marBottom w:val="0"/>
          <w:divBdr>
            <w:top w:val="none" w:sz="0" w:space="0" w:color="auto"/>
            <w:left w:val="none" w:sz="0" w:space="0" w:color="auto"/>
            <w:bottom w:val="none" w:sz="0" w:space="0" w:color="auto"/>
            <w:right w:val="none" w:sz="0" w:space="0" w:color="auto"/>
          </w:divBdr>
          <w:divsChild>
            <w:div w:id="39158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0986">
      <w:bodyDiv w:val="1"/>
      <w:marLeft w:val="0"/>
      <w:marRight w:val="0"/>
      <w:marTop w:val="0"/>
      <w:marBottom w:val="0"/>
      <w:divBdr>
        <w:top w:val="none" w:sz="0" w:space="0" w:color="auto"/>
        <w:left w:val="none" w:sz="0" w:space="0" w:color="auto"/>
        <w:bottom w:val="none" w:sz="0" w:space="0" w:color="auto"/>
        <w:right w:val="none" w:sz="0" w:space="0" w:color="auto"/>
      </w:divBdr>
      <w:divsChild>
        <w:div w:id="767116590">
          <w:marLeft w:val="0"/>
          <w:marRight w:val="0"/>
          <w:marTop w:val="0"/>
          <w:marBottom w:val="0"/>
          <w:divBdr>
            <w:top w:val="none" w:sz="0" w:space="0" w:color="auto"/>
            <w:left w:val="none" w:sz="0" w:space="0" w:color="auto"/>
            <w:bottom w:val="none" w:sz="0" w:space="0" w:color="auto"/>
            <w:right w:val="none" w:sz="0" w:space="0" w:color="auto"/>
          </w:divBdr>
          <w:divsChild>
            <w:div w:id="176850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54212">
      <w:bodyDiv w:val="1"/>
      <w:marLeft w:val="0"/>
      <w:marRight w:val="0"/>
      <w:marTop w:val="0"/>
      <w:marBottom w:val="0"/>
      <w:divBdr>
        <w:top w:val="none" w:sz="0" w:space="0" w:color="auto"/>
        <w:left w:val="none" w:sz="0" w:space="0" w:color="auto"/>
        <w:bottom w:val="none" w:sz="0" w:space="0" w:color="auto"/>
        <w:right w:val="none" w:sz="0" w:space="0" w:color="auto"/>
      </w:divBdr>
      <w:divsChild>
        <w:div w:id="2090927765">
          <w:marLeft w:val="0"/>
          <w:marRight w:val="0"/>
          <w:marTop w:val="0"/>
          <w:marBottom w:val="0"/>
          <w:divBdr>
            <w:top w:val="none" w:sz="0" w:space="0" w:color="auto"/>
            <w:left w:val="none" w:sz="0" w:space="0" w:color="auto"/>
            <w:bottom w:val="none" w:sz="0" w:space="0" w:color="auto"/>
            <w:right w:val="none" w:sz="0" w:space="0" w:color="auto"/>
          </w:divBdr>
          <w:divsChild>
            <w:div w:id="164261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310052">
      <w:bodyDiv w:val="1"/>
      <w:marLeft w:val="0"/>
      <w:marRight w:val="0"/>
      <w:marTop w:val="0"/>
      <w:marBottom w:val="0"/>
      <w:divBdr>
        <w:top w:val="none" w:sz="0" w:space="0" w:color="auto"/>
        <w:left w:val="none" w:sz="0" w:space="0" w:color="auto"/>
        <w:bottom w:val="none" w:sz="0" w:space="0" w:color="auto"/>
        <w:right w:val="none" w:sz="0" w:space="0" w:color="auto"/>
      </w:divBdr>
      <w:divsChild>
        <w:div w:id="195579363">
          <w:marLeft w:val="0"/>
          <w:marRight w:val="0"/>
          <w:marTop w:val="0"/>
          <w:marBottom w:val="0"/>
          <w:divBdr>
            <w:top w:val="none" w:sz="0" w:space="0" w:color="auto"/>
            <w:left w:val="none" w:sz="0" w:space="0" w:color="auto"/>
            <w:bottom w:val="none" w:sz="0" w:space="0" w:color="auto"/>
            <w:right w:val="none" w:sz="0" w:space="0" w:color="auto"/>
          </w:divBdr>
          <w:divsChild>
            <w:div w:id="32756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89783">
      <w:bodyDiv w:val="1"/>
      <w:marLeft w:val="0"/>
      <w:marRight w:val="0"/>
      <w:marTop w:val="0"/>
      <w:marBottom w:val="0"/>
      <w:divBdr>
        <w:top w:val="none" w:sz="0" w:space="0" w:color="auto"/>
        <w:left w:val="none" w:sz="0" w:space="0" w:color="auto"/>
        <w:bottom w:val="none" w:sz="0" w:space="0" w:color="auto"/>
        <w:right w:val="none" w:sz="0" w:space="0" w:color="auto"/>
      </w:divBdr>
      <w:divsChild>
        <w:div w:id="2025785616">
          <w:marLeft w:val="0"/>
          <w:marRight w:val="0"/>
          <w:marTop w:val="0"/>
          <w:marBottom w:val="0"/>
          <w:divBdr>
            <w:top w:val="none" w:sz="0" w:space="0" w:color="auto"/>
            <w:left w:val="none" w:sz="0" w:space="0" w:color="auto"/>
            <w:bottom w:val="none" w:sz="0" w:space="0" w:color="auto"/>
            <w:right w:val="none" w:sz="0" w:space="0" w:color="auto"/>
          </w:divBdr>
          <w:divsChild>
            <w:div w:id="169260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470865">
      <w:bodyDiv w:val="1"/>
      <w:marLeft w:val="0"/>
      <w:marRight w:val="0"/>
      <w:marTop w:val="0"/>
      <w:marBottom w:val="0"/>
      <w:divBdr>
        <w:top w:val="none" w:sz="0" w:space="0" w:color="auto"/>
        <w:left w:val="none" w:sz="0" w:space="0" w:color="auto"/>
        <w:bottom w:val="none" w:sz="0" w:space="0" w:color="auto"/>
        <w:right w:val="none" w:sz="0" w:space="0" w:color="auto"/>
      </w:divBdr>
      <w:divsChild>
        <w:div w:id="599414494">
          <w:marLeft w:val="0"/>
          <w:marRight w:val="0"/>
          <w:marTop w:val="0"/>
          <w:marBottom w:val="0"/>
          <w:divBdr>
            <w:top w:val="none" w:sz="0" w:space="0" w:color="auto"/>
            <w:left w:val="none" w:sz="0" w:space="0" w:color="auto"/>
            <w:bottom w:val="none" w:sz="0" w:space="0" w:color="auto"/>
            <w:right w:val="none" w:sz="0" w:space="0" w:color="auto"/>
          </w:divBdr>
          <w:divsChild>
            <w:div w:id="149795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954">
      <w:bodyDiv w:val="1"/>
      <w:marLeft w:val="0"/>
      <w:marRight w:val="0"/>
      <w:marTop w:val="0"/>
      <w:marBottom w:val="0"/>
      <w:divBdr>
        <w:top w:val="none" w:sz="0" w:space="0" w:color="auto"/>
        <w:left w:val="none" w:sz="0" w:space="0" w:color="auto"/>
        <w:bottom w:val="none" w:sz="0" w:space="0" w:color="auto"/>
        <w:right w:val="none" w:sz="0" w:space="0" w:color="auto"/>
      </w:divBdr>
      <w:divsChild>
        <w:div w:id="1963530957">
          <w:marLeft w:val="0"/>
          <w:marRight w:val="0"/>
          <w:marTop w:val="0"/>
          <w:marBottom w:val="0"/>
          <w:divBdr>
            <w:top w:val="none" w:sz="0" w:space="0" w:color="auto"/>
            <w:left w:val="none" w:sz="0" w:space="0" w:color="auto"/>
            <w:bottom w:val="none" w:sz="0" w:space="0" w:color="auto"/>
            <w:right w:val="none" w:sz="0" w:space="0" w:color="auto"/>
          </w:divBdr>
          <w:divsChild>
            <w:div w:id="186713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933656">
      <w:bodyDiv w:val="1"/>
      <w:marLeft w:val="0"/>
      <w:marRight w:val="0"/>
      <w:marTop w:val="0"/>
      <w:marBottom w:val="0"/>
      <w:divBdr>
        <w:top w:val="none" w:sz="0" w:space="0" w:color="auto"/>
        <w:left w:val="none" w:sz="0" w:space="0" w:color="auto"/>
        <w:bottom w:val="none" w:sz="0" w:space="0" w:color="auto"/>
        <w:right w:val="none" w:sz="0" w:space="0" w:color="auto"/>
      </w:divBdr>
      <w:divsChild>
        <w:div w:id="1058169210">
          <w:marLeft w:val="0"/>
          <w:marRight w:val="0"/>
          <w:marTop w:val="0"/>
          <w:marBottom w:val="0"/>
          <w:divBdr>
            <w:top w:val="none" w:sz="0" w:space="0" w:color="auto"/>
            <w:left w:val="none" w:sz="0" w:space="0" w:color="auto"/>
            <w:bottom w:val="none" w:sz="0" w:space="0" w:color="auto"/>
            <w:right w:val="none" w:sz="0" w:space="0" w:color="auto"/>
          </w:divBdr>
          <w:divsChild>
            <w:div w:id="11888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717570">
      <w:bodyDiv w:val="1"/>
      <w:marLeft w:val="0"/>
      <w:marRight w:val="0"/>
      <w:marTop w:val="0"/>
      <w:marBottom w:val="0"/>
      <w:divBdr>
        <w:top w:val="none" w:sz="0" w:space="0" w:color="auto"/>
        <w:left w:val="none" w:sz="0" w:space="0" w:color="auto"/>
        <w:bottom w:val="none" w:sz="0" w:space="0" w:color="auto"/>
        <w:right w:val="none" w:sz="0" w:space="0" w:color="auto"/>
      </w:divBdr>
      <w:divsChild>
        <w:div w:id="1320841806">
          <w:marLeft w:val="0"/>
          <w:marRight w:val="0"/>
          <w:marTop w:val="0"/>
          <w:marBottom w:val="0"/>
          <w:divBdr>
            <w:top w:val="none" w:sz="0" w:space="0" w:color="auto"/>
            <w:left w:val="none" w:sz="0" w:space="0" w:color="auto"/>
            <w:bottom w:val="none" w:sz="0" w:space="0" w:color="auto"/>
            <w:right w:val="none" w:sz="0" w:space="0" w:color="auto"/>
          </w:divBdr>
          <w:divsChild>
            <w:div w:id="33668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263356">
      <w:bodyDiv w:val="1"/>
      <w:marLeft w:val="0"/>
      <w:marRight w:val="0"/>
      <w:marTop w:val="0"/>
      <w:marBottom w:val="0"/>
      <w:divBdr>
        <w:top w:val="none" w:sz="0" w:space="0" w:color="auto"/>
        <w:left w:val="none" w:sz="0" w:space="0" w:color="auto"/>
        <w:bottom w:val="none" w:sz="0" w:space="0" w:color="auto"/>
        <w:right w:val="none" w:sz="0" w:space="0" w:color="auto"/>
      </w:divBdr>
      <w:divsChild>
        <w:div w:id="914586490">
          <w:marLeft w:val="0"/>
          <w:marRight w:val="0"/>
          <w:marTop w:val="0"/>
          <w:marBottom w:val="0"/>
          <w:divBdr>
            <w:top w:val="none" w:sz="0" w:space="0" w:color="auto"/>
            <w:left w:val="none" w:sz="0" w:space="0" w:color="auto"/>
            <w:bottom w:val="none" w:sz="0" w:space="0" w:color="auto"/>
            <w:right w:val="none" w:sz="0" w:space="0" w:color="auto"/>
          </w:divBdr>
          <w:divsChild>
            <w:div w:id="52980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10894">
      <w:bodyDiv w:val="1"/>
      <w:marLeft w:val="0"/>
      <w:marRight w:val="0"/>
      <w:marTop w:val="0"/>
      <w:marBottom w:val="0"/>
      <w:divBdr>
        <w:top w:val="none" w:sz="0" w:space="0" w:color="auto"/>
        <w:left w:val="none" w:sz="0" w:space="0" w:color="auto"/>
        <w:bottom w:val="none" w:sz="0" w:space="0" w:color="auto"/>
        <w:right w:val="none" w:sz="0" w:space="0" w:color="auto"/>
      </w:divBdr>
      <w:divsChild>
        <w:div w:id="1798718577">
          <w:marLeft w:val="0"/>
          <w:marRight w:val="0"/>
          <w:marTop w:val="0"/>
          <w:marBottom w:val="0"/>
          <w:divBdr>
            <w:top w:val="none" w:sz="0" w:space="0" w:color="auto"/>
            <w:left w:val="none" w:sz="0" w:space="0" w:color="auto"/>
            <w:bottom w:val="none" w:sz="0" w:space="0" w:color="auto"/>
            <w:right w:val="none" w:sz="0" w:space="0" w:color="auto"/>
          </w:divBdr>
          <w:divsChild>
            <w:div w:id="188890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469485">
      <w:bodyDiv w:val="1"/>
      <w:marLeft w:val="0"/>
      <w:marRight w:val="0"/>
      <w:marTop w:val="0"/>
      <w:marBottom w:val="0"/>
      <w:divBdr>
        <w:top w:val="none" w:sz="0" w:space="0" w:color="auto"/>
        <w:left w:val="none" w:sz="0" w:space="0" w:color="auto"/>
        <w:bottom w:val="none" w:sz="0" w:space="0" w:color="auto"/>
        <w:right w:val="none" w:sz="0" w:space="0" w:color="auto"/>
      </w:divBdr>
      <w:divsChild>
        <w:div w:id="862982497">
          <w:marLeft w:val="0"/>
          <w:marRight w:val="0"/>
          <w:marTop w:val="0"/>
          <w:marBottom w:val="0"/>
          <w:divBdr>
            <w:top w:val="none" w:sz="0" w:space="0" w:color="auto"/>
            <w:left w:val="none" w:sz="0" w:space="0" w:color="auto"/>
            <w:bottom w:val="none" w:sz="0" w:space="0" w:color="auto"/>
            <w:right w:val="none" w:sz="0" w:space="0" w:color="auto"/>
          </w:divBdr>
          <w:divsChild>
            <w:div w:id="63518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04588">
      <w:bodyDiv w:val="1"/>
      <w:marLeft w:val="0"/>
      <w:marRight w:val="0"/>
      <w:marTop w:val="0"/>
      <w:marBottom w:val="0"/>
      <w:divBdr>
        <w:top w:val="none" w:sz="0" w:space="0" w:color="auto"/>
        <w:left w:val="none" w:sz="0" w:space="0" w:color="auto"/>
        <w:bottom w:val="none" w:sz="0" w:space="0" w:color="auto"/>
        <w:right w:val="none" w:sz="0" w:space="0" w:color="auto"/>
      </w:divBdr>
      <w:divsChild>
        <w:div w:id="581257763">
          <w:marLeft w:val="0"/>
          <w:marRight w:val="0"/>
          <w:marTop w:val="0"/>
          <w:marBottom w:val="0"/>
          <w:divBdr>
            <w:top w:val="none" w:sz="0" w:space="0" w:color="auto"/>
            <w:left w:val="none" w:sz="0" w:space="0" w:color="auto"/>
            <w:bottom w:val="none" w:sz="0" w:space="0" w:color="auto"/>
            <w:right w:val="none" w:sz="0" w:space="0" w:color="auto"/>
          </w:divBdr>
          <w:divsChild>
            <w:div w:id="11082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825182">
      <w:bodyDiv w:val="1"/>
      <w:marLeft w:val="0"/>
      <w:marRight w:val="0"/>
      <w:marTop w:val="0"/>
      <w:marBottom w:val="0"/>
      <w:divBdr>
        <w:top w:val="none" w:sz="0" w:space="0" w:color="auto"/>
        <w:left w:val="none" w:sz="0" w:space="0" w:color="auto"/>
        <w:bottom w:val="none" w:sz="0" w:space="0" w:color="auto"/>
        <w:right w:val="none" w:sz="0" w:space="0" w:color="auto"/>
      </w:divBdr>
      <w:divsChild>
        <w:div w:id="405150617">
          <w:marLeft w:val="0"/>
          <w:marRight w:val="0"/>
          <w:marTop w:val="0"/>
          <w:marBottom w:val="0"/>
          <w:divBdr>
            <w:top w:val="none" w:sz="0" w:space="0" w:color="auto"/>
            <w:left w:val="none" w:sz="0" w:space="0" w:color="auto"/>
            <w:bottom w:val="none" w:sz="0" w:space="0" w:color="auto"/>
            <w:right w:val="none" w:sz="0" w:space="0" w:color="auto"/>
          </w:divBdr>
          <w:divsChild>
            <w:div w:id="3541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944861">
      <w:bodyDiv w:val="1"/>
      <w:marLeft w:val="0"/>
      <w:marRight w:val="0"/>
      <w:marTop w:val="0"/>
      <w:marBottom w:val="0"/>
      <w:divBdr>
        <w:top w:val="none" w:sz="0" w:space="0" w:color="auto"/>
        <w:left w:val="none" w:sz="0" w:space="0" w:color="auto"/>
        <w:bottom w:val="none" w:sz="0" w:space="0" w:color="auto"/>
        <w:right w:val="none" w:sz="0" w:space="0" w:color="auto"/>
      </w:divBdr>
      <w:divsChild>
        <w:div w:id="1443069225">
          <w:marLeft w:val="0"/>
          <w:marRight w:val="0"/>
          <w:marTop w:val="0"/>
          <w:marBottom w:val="0"/>
          <w:divBdr>
            <w:top w:val="none" w:sz="0" w:space="0" w:color="auto"/>
            <w:left w:val="none" w:sz="0" w:space="0" w:color="auto"/>
            <w:bottom w:val="none" w:sz="0" w:space="0" w:color="auto"/>
            <w:right w:val="none" w:sz="0" w:space="0" w:color="auto"/>
          </w:divBdr>
          <w:divsChild>
            <w:div w:id="87939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459473">
      <w:bodyDiv w:val="1"/>
      <w:marLeft w:val="0"/>
      <w:marRight w:val="0"/>
      <w:marTop w:val="0"/>
      <w:marBottom w:val="0"/>
      <w:divBdr>
        <w:top w:val="none" w:sz="0" w:space="0" w:color="auto"/>
        <w:left w:val="none" w:sz="0" w:space="0" w:color="auto"/>
        <w:bottom w:val="none" w:sz="0" w:space="0" w:color="auto"/>
        <w:right w:val="none" w:sz="0" w:space="0" w:color="auto"/>
      </w:divBdr>
      <w:divsChild>
        <w:div w:id="1490436629">
          <w:marLeft w:val="0"/>
          <w:marRight w:val="0"/>
          <w:marTop w:val="0"/>
          <w:marBottom w:val="0"/>
          <w:divBdr>
            <w:top w:val="none" w:sz="0" w:space="0" w:color="auto"/>
            <w:left w:val="none" w:sz="0" w:space="0" w:color="auto"/>
            <w:bottom w:val="none" w:sz="0" w:space="0" w:color="auto"/>
            <w:right w:val="none" w:sz="0" w:space="0" w:color="auto"/>
          </w:divBdr>
          <w:divsChild>
            <w:div w:id="42396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33844">
      <w:bodyDiv w:val="1"/>
      <w:marLeft w:val="0"/>
      <w:marRight w:val="0"/>
      <w:marTop w:val="0"/>
      <w:marBottom w:val="0"/>
      <w:divBdr>
        <w:top w:val="none" w:sz="0" w:space="0" w:color="auto"/>
        <w:left w:val="none" w:sz="0" w:space="0" w:color="auto"/>
        <w:bottom w:val="none" w:sz="0" w:space="0" w:color="auto"/>
        <w:right w:val="none" w:sz="0" w:space="0" w:color="auto"/>
      </w:divBdr>
      <w:divsChild>
        <w:div w:id="1771774783">
          <w:marLeft w:val="0"/>
          <w:marRight w:val="0"/>
          <w:marTop w:val="0"/>
          <w:marBottom w:val="0"/>
          <w:divBdr>
            <w:top w:val="none" w:sz="0" w:space="0" w:color="auto"/>
            <w:left w:val="none" w:sz="0" w:space="0" w:color="auto"/>
            <w:bottom w:val="none" w:sz="0" w:space="0" w:color="auto"/>
            <w:right w:val="none" w:sz="0" w:space="0" w:color="auto"/>
          </w:divBdr>
          <w:divsChild>
            <w:div w:id="3789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47541">
      <w:bodyDiv w:val="1"/>
      <w:marLeft w:val="0"/>
      <w:marRight w:val="0"/>
      <w:marTop w:val="0"/>
      <w:marBottom w:val="0"/>
      <w:divBdr>
        <w:top w:val="none" w:sz="0" w:space="0" w:color="auto"/>
        <w:left w:val="none" w:sz="0" w:space="0" w:color="auto"/>
        <w:bottom w:val="none" w:sz="0" w:space="0" w:color="auto"/>
        <w:right w:val="none" w:sz="0" w:space="0" w:color="auto"/>
      </w:divBdr>
      <w:divsChild>
        <w:div w:id="1957828895">
          <w:marLeft w:val="0"/>
          <w:marRight w:val="0"/>
          <w:marTop w:val="0"/>
          <w:marBottom w:val="0"/>
          <w:divBdr>
            <w:top w:val="none" w:sz="0" w:space="0" w:color="auto"/>
            <w:left w:val="none" w:sz="0" w:space="0" w:color="auto"/>
            <w:bottom w:val="none" w:sz="0" w:space="0" w:color="auto"/>
            <w:right w:val="none" w:sz="0" w:space="0" w:color="auto"/>
          </w:divBdr>
          <w:divsChild>
            <w:div w:id="113340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677337">
      <w:bodyDiv w:val="1"/>
      <w:marLeft w:val="0"/>
      <w:marRight w:val="0"/>
      <w:marTop w:val="0"/>
      <w:marBottom w:val="0"/>
      <w:divBdr>
        <w:top w:val="none" w:sz="0" w:space="0" w:color="auto"/>
        <w:left w:val="none" w:sz="0" w:space="0" w:color="auto"/>
        <w:bottom w:val="none" w:sz="0" w:space="0" w:color="auto"/>
        <w:right w:val="none" w:sz="0" w:space="0" w:color="auto"/>
      </w:divBdr>
      <w:divsChild>
        <w:div w:id="848061579">
          <w:marLeft w:val="0"/>
          <w:marRight w:val="0"/>
          <w:marTop w:val="0"/>
          <w:marBottom w:val="0"/>
          <w:divBdr>
            <w:top w:val="none" w:sz="0" w:space="0" w:color="auto"/>
            <w:left w:val="none" w:sz="0" w:space="0" w:color="auto"/>
            <w:bottom w:val="none" w:sz="0" w:space="0" w:color="auto"/>
            <w:right w:val="none" w:sz="0" w:space="0" w:color="auto"/>
          </w:divBdr>
          <w:divsChild>
            <w:div w:id="58434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11361">
      <w:bodyDiv w:val="1"/>
      <w:marLeft w:val="0"/>
      <w:marRight w:val="0"/>
      <w:marTop w:val="0"/>
      <w:marBottom w:val="0"/>
      <w:divBdr>
        <w:top w:val="none" w:sz="0" w:space="0" w:color="auto"/>
        <w:left w:val="none" w:sz="0" w:space="0" w:color="auto"/>
        <w:bottom w:val="none" w:sz="0" w:space="0" w:color="auto"/>
        <w:right w:val="none" w:sz="0" w:space="0" w:color="auto"/>
      </w:divBdr>
      <w:divsChild>
        <w:div w:id="1235898762">
          <w:marLeft w:val="0"/>
          <w:marRight w:val="0"/>
          <w:marTop w:val="0"/>
          <w:marBottom w:val="0"/>
          <w:divBdr>
            <w:top w:val="none" w:sz="0" w:space="0" w:color="auto"/>
            <w:left w:val="none" w:sz="0" w:space="0" w:color="auto"/>
            <w:bottom w:val="none" w:sz="0" w:space="0" w:color="auto"/>
            <w:right w:val="none" w:sz="0" w:space="0" w:color="auto"/>
          </w:divBdr>
          <w:divsChild>
            <w:div w:id="40122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368732">
      <w:bodyDiv w:val="1"/>
      <w:marLeft w:val="0"/>
      <w:marRight w:val="0"/>
      <w:marTop w:val="0"/>
      <w:marBottom w:val="0"/>
      <w:divBdr>
        <w:top w:val="none" w:sz="0" w:space="0" w:color="auto"/>
        <w:left w:val="none" w:sz="0" w:space="0" w:color="auto"/>
        <w:bottom w:val="none" w:sz="0" w:space="0" w:color="auto"/>
        <w:right w:val="none" w:sz="0" w:space="0" w:color="auto"/>
      </w:divBdr>
      <w:divsChild>
        <w:div w:id="1358506599">
          <w:marLeft w:val="0"/>
          <w:marRight w:val="0"/>
          <w:marTop w:val="0"/>
          <w:marBottom w:val="0"/>
          <w:divBdr>
            <w:top w:val="none" w:sz="0" w:space="0" w:color="auto"/>
            <w:left w:val="none" w:sz="0" w:space="0" w:color="auto"/>
            <w:bottom w:val="none" w:sz="0" w:space="0" w:color="auto"/>
            <w:right w:val="none" w:sz="0" w:space="0" w:color="auto"/>
          </w:divBdr>
          <w:divsChild>
            <w:div w:id="78558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99443">
      <w:bodyDiv w:val="1"/>
      <w:marLeft w:val="0"/>
      <w:marRight w:val="0"/>
      <w:marTop w:val="0"/>
      <w:marBottom w:val="0"/>
      <w:divBdr>
        <w:top w:val="none" w:sz="0" w:space="0" w:color="auto"/>
        <w:left w:val="none" w:sz="0" w:space="0" w:color="auto"/>
        <w:bottom w:val="none" w:sz="0" w:space="0" w:color="auto"/>
        <w:right w:val="none" w:sz="0" w:space="0" w:color="auto"/>
      </w:divBdr>
      <w:divsChild>
        <w:div w:id="301228281">
          <w:marLeft w:val="0"/>
          <w:marRight w:val="0"/>
          <w:marTop w:val="0"/>
          <w:marBottom w:val="0"/>
          <w:divBdr>
            <w:top w:val="none" w:sz="0" w:space="0" w:color="auto"/>
            <w:left w:val="none" w:sz="0" w:space="0" w:color="auto"/>
            <w:bottom w:val="none" w:sz="0" w:space="0" w:color="auto"/>
            <w:right w:val="none" w:sz="0" w:space="0" w:color="auto"/>
          </w:divBdr>
          <w:divsChild>
            <w:div w:id="103219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1592">
      <w:bodyDiv w:val="1"/>
      <w:marLeft w:val="0"/>
      <w:marRight w:val="0"/>
      <w:marTop w:val="0"/>
      <w:marBottom w:val="0"/>
      <w:divBdr>
        <w:top w:val="none" w:sz="0" w:space="0" w:color="auto"/>
        <w:left w:val="none" w:sz="0" w:space="0" w:color="auto"/>
        <w:bottom w:val="none" w:sz="0" w:space="0" w:color="auto"/>
        <w:right w:val="none" w:sz="0" w:space="0" w:color="auto"/>
      </w:divBdr>
      <w:divsChild>
        <w:div w:id="336886024">
          <w:marLeft w:val="0"/>
          <w:marRight w:val="0"/>
          <w:marTop w:val="0"/>
          <w:marBottom w:val="0"/>
          <w:divBdr>
            <w:top w:val="none" w:sz="0" w:space="0" w:color="auto"/>
            <w:left w:val="none" w:sz="0" w:space="0" w:color="auto"/>
            <w:bottom w:val="none" w:sz="0" w:space="0" w:color="auto"/>
            <w:right w:val="none" w:sz="0" w:space="0" w:color="auto"/>
          </w:divBdr>
          <w:divsChild>
            <w:div w:id="51958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001368">
      <w:bodyDiv w:val="1"/>
      <w:marLeft w:val="0"/>
      <w:marRight w:val="0"/>
      <w:marTop w:val="0"/>
      <w:marBottom w:val="0"/>
      <w:divBdr>
        <w:top w:val="none" w:sz="0" w:space="0" w:color="auto"/>
        <w:left w:val="none" w:sz="0" w:space="0" w:color="auto"/>
        <w:bottom w:val="none" w:sz="0" w:space="0" w:color="auto"/>
        <w:right w:val="none" w:sz="0" w:space="0" w:color="auto"/>
      </w:divBdr>
      <w:divsChild>
        <w:div w:id="1824009508">
          <w:marLeft w:val="0"/>
          <w:marRight w:val="0"/>
          <w:marTop w:val="0"/>
          <w:marBottom w:val="0"/>
          <w:divBdr>
            <w:top w:val="none" w:sz="0" w:space="0" w:color="auto"/>
            <w:left w:val="none" w:sz="0" w:space="0" w:color="auto"/>
            <w:bottom w:val="none" w:sz="0" w:space="0" w:color="auto"/>
            <w:right w:val="none" w:sz="0" w:space="0" w:color="auto"/>
          </w:divBdr>
          <w:divsChild>
            <w:div w:id="97644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2469">
      <w:bodyDiv w:val="1"/>
      <w:marLeft w:val="0"/>
      <w:marRight w:val="0"/>
      <w:marTop w:val="0"/>
      <w:marBottom w:val="0"/>
      <w:divBdr>
        <w:top w:val="none" w:sz="0" w:space="0" w:color="auto"/>
        <w:left w:val="none" w:sz="0" w:space="0" w:color="auto"/>
        <w:bottom w:val="none" w:sz="0" w:space="0" w:color="auto"/>
        <w:right w:val="none" w:sz="0" w:space="0" w:color="auto"/>
      </w:divBdr>
      <w:divsChild>
        <w:div w:id="1376153597">
          <w:marLeft w:val="0"/>
          <w:marRight w:val="0"/>
          <w:marTop w:val="0"/>
          <w:marBottom w:val="0"/>
          <w:divBdr>
            <w:top w:val="none" w:sz="0" w:space="0" w:color="auto"/>
            <w:left w:val="none" w:sz="0" w:space="0" w:color="auto"/>
            <w:bottom w:val="none" w:sz="0" w:space="0" w:color="auto"/>
            <w:right w:val="none" w:sz="0" w:space="0" w:color="auto"/>
          </w:divBdr>
          <w:divsChild>
            <w:div w:id="16236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606264">
      <w:bodyDiv w:val="1"/>
      <w:marLeft w:val="0"/>
      <w:marRight w:val="0"/>
      <w:marTop w:val="0"/>
      <w:marBottom w:val="0"/>
      <w:divBdr>
        <w:top w:val="none" w:sz="0" w:space="0" w:color="auto"/>
        <w:left w:val="none" w:sz="0" w:space="0" w:color="auto"/>
        <w:bottom w:val="none" w:sz="0" w:space="0" w:color="auto"/>
        <w:right w:val="none" w:sz="0" w:space="0" w:color="auto"/>
      </w:divBdr>
      <w:divsChild>
        <w:div w:id="1011025119">
          <w:marLeft w:val="0"/>
          <w:marRight w:val="0"/>
          <w:marTop w:val="0"/>
          <w:marBottom w:val="0"/>
          <w:divBdr>
            <w:top w:val="none" w:sz="0" w:space="0" w:color="auto"/>
            <w:left w:val="none" w:sz="0" w:space="0" w:color="auto"/>
            <w:bottom w:val="none" w:sz="0" w:space="0" w:color="auto"/>
            <w:right w:val="none" w:sz="0" w:space="0" w:color="auto"/>
          </w:divBdr>
          <w:divsChild>
            <w:div w:id="112558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39860">
      <w:bodyDiv w:val="1"/>
      <w:marLeft w:val="0"/>
      <w:marRight w:val="0"/>
      <w:marTop w:val="0"/>
      <w:marBottom w:val="0"/>
      <w:divBdr>
        <w:top w:val="none" w:sz="0" w:space="0" w:color="auto"/>
        <w:left w:val="none" w:sz="0" w:space="0" w:color="auto"/>
        <w:bottom w:val="none" w:sz="0" w:space="0" w:color="auto"/>
        <w:right w:val="none" w:sz="0" w:space="0" w:color="auto"/>
      </w:divBdr>
      <w:divsChild>
        <w:div w:id="1762337159">
          <w:marLeft w:val="0"/>
          <w:marRight w:val="0"/>
          <w:marTop w:val="0"/>
          <w:marBottom w:val="0"/>
          <w:divBdr>
            <w:top w:val="none" w:sz="0" w:space="0" w:color="auto"/>
            <w:left w:val="none" w:sz="0" w:space="0" w:color="auto"/>
            <w:bottom w:val="none" w:sz="0" w:space="0" w:color="auto"/>
            <w:right w:val="none" w:sz="0" w:space="0" w:color="auto"/>
          </w:divBdr>
          <w:divsChild>
            <w:div w:id="74942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078030">
      <w:bodyDiv w:val="1"/>
      <w:marLeft w:val="0"/>
      <w:marRight w:val="0"/>
      <w:marTop w:val="0"/>
      <w:marBottom w:val="0"/>
      <w:divBdr>
        <w:top w:val="none" w:sz="0" w:space="0" w:color="auto"/>
        <w:left w:val="none" w:sz="0" w:space="0" w:color="auto"/>
        <w:bottom w:val="none" w:sz="0" w:space="0" w:color="auto"/>
        <w:right w:val="none" w:sz="0" w:space="0" w:color="auto"/>
      </w:divBdr>
      <w:divsChild>
        <w:div w:id="1071080007">
          <w:marLeft w:val="0"/>
          <w:marRight w:val="0"/>
          <w:marTop w:val="0"/>
          <w:marBottom w:val="0"/>
          <w:divBdr>
            <w:top w:val="none" w:sz="0" w:space="0" w:color="auto"/>
            <w:left w:val="none" w:sz="0" w:space="0" w:color="auto"/>
            <w:bottom w:val="none" w:sz="0" w:space="0" w:color="auto"/>
            <w:right w:val="none" w:sz="0" w:space="0" w:color="auto"/>
          </w:divBdr>
          <w:divsChild>
            <w:div w:id="944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5615">
      <w:bodyDiv w:val="1"/>
      <w:marLeft w:val="0"/>
      <w:marRight w:val="0"/>
      <w:marTop w:val="0"/>
      <w:marBottom w:val="0"/>
      <w:divBdr>
        <w:top w:val="none" w:sz="0" w:space="0" w:color="auto"/>
        <w:left w:val="none" w:sz="0" w:space="0" w:color="auto"/>
        <w:bottom w:val="none" w:sz="0" w:space="0" w:color="auto"/>
        <w:right w:val="none" w:sz="0" w:space="0" w:color="auto"/>
      </w:divBdr>
      <w:divsChild>
        <w:div w:id="206769962">
          <w:marLeft w:val="0"/>
          <w:marRight w:val="0"/>
          <w:marTop w:val="0"/>
          <w:marBottom w:val="0"/>
          <w:divBdr>
            <w:top w:val="none" w:sz="0" w:space="0" w:color="auto"/>
            <w:left w:val="none" w:sz="0" w:space="0" w:color="auto"/>
            <w:bottom w:val="none" w:sz="0" w:space="0" w:color="auto"/>
            <w:right w:val="none" w:sz="0" w:space="0" w:color="auto"/>
          </w:divBdr>
          <w:divsChild>
            <w:div w:id="25922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006849">
      <w:bodyDiv w:val="1"/>
      <w:marLeft w:val="0"/>
      <w:marRight w:val="0"/>
      <w:marTop w:val="0"/>
      <w:marBottom w:val="0"/>
      <w:divBdr>
        <w:top w:val="none" w:sz="0" w:space="0" w:color="auto"/>
        <w:left w:val="none" w:sz="0" w:space="0" w:color="auto"/>
        <w:bottom w:val="none" w:sz="0" w:space="0" w:color="auto"/>
        <w:right w:val="none" w:sz="0" w:space="0" w:color="auto"/>
      </w:divBdr>
      <w:divsChild>
        <w:div w:id="1811095213">
          <w:marLeft w:val="0"/>
          <w:marRight w:val="0"/>
          <w:marTop w:val="0"/>
          <w:marBottom w:val="0"/>
          <w:divBdr>
            <w:top w:val="none" w:sz="0" w:space="0" w:color="auto"/>
            <w:left w:val="none" w:sz="0" w:space="0" w:color="auto"/>
            <w:bottom w:val="none" w:sz="0" w:space="0" w:color="auto"/>
            <w:right w:val="none" w:sz="0" w:space="0" w:color="auto"/>
          </w:divBdr>
          <w:divsChild>
            <w:div w:id="153060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464246">
      <w:bodyDiv w:val="1"/>
      <w:marLeft w:val="0"/>
      <w:marRight w:val="0"/>
      <w:marTop w:val="0"/>
      <w:marBottom w:val="0"/>
      <w:divBdr>
        <w:top w:val="none" w:sz="0" w:space="0" w:color="auto"/>
        <w:left w:val="none" w:sz="0" w:space="0" w:color="auto"/>
        <w:bottom w:val="none" w:sz="0" w:space="0" w:color="auto"/>
        <w:right w:val="none" w:sz="0" w:space="0" w:color="auto"/>
      </w:divBdr>
      <w:divsChild>
        <w:div w:id="1900630341">
          <w:marLeft w:val="0"/>
          <w:marRight w:val="0"/>
          <w:marTop w:val="0"/>
          <w:marBottom w:val="0"/>
          <w:divBdr>
            <w:top w:val="none" w:sz="0" w:space="0" w:color="auto"/>
            <w:left w:val="none" w:sz="0" w:space="0" w:color="auto"/>
            <w:bottom w:val="none" w:sz="0" w:space="0" w:color="auto"/>
            <w:right w:val="none" w:sz="0" w:space="0" w:color="auto"/>
          </w:divBdr>
          <w:divsChild>
            <w:div w:id="188058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111273">
      <w:bodyDiv w:val="1"/>
      <w:marLeft w:val="0"/>
      <w:marRight w:val="0"/>
      <w:marTop w:val="0"/>
      <w:marBottom w:val="0"/>
      <w:divBdr>
        <w:top w:val="none" w:sz="0" w:space="0" w:color="auto"/>
        <w:left w:val="none" w:sz="0" w:space="0" w:color="auto"/>
        <w:bottom w:val="none" w:sz="0" w:space="0" w:color="auto"/>
        <w:right w:val="none" w:sz="0" w:space="0" w:color="auto"/>
      </w:divBdr>
      <w:divsChild>
        <w:div w:id="498158436">
          <w:marLeft w:val="0"/>
          <w:marRight w:val="0"/>
          <w:marTop w:val="0"/>
          <w:marBottom w:val="0"/>
          <w:divBdr>
            <w:top w:val="none" w:sz="0" w:space="0" w:color="auto"/>
            <w:left w:val="none" w:sz="0" w:space="0" w:color="auto"/>
            <w:bottom w:val="none" w:sz="0" w:space="0" w:color="auto"/>
            <w:right w:val="none" w:sz="0" w:space="0" w:color="auto"/>
          </w:divBdr>
          <w:divsChild>
            <w:div w:id="147915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177255">
      <w:bodyDiv w:val="1"/>
      <w:marLeft w:val="0"/>
      <w:marRight w:val="0"/>
      <w:marTop w:val="0"/>
      <w:marBottom w:val="0"/>
      <w:divBdr>
        <w:top w:val="none" w:sz="0" w:space="0" w:color="auto"/>
        <w:left w:val="none" w:sz="0" w:space="0" w:color="auto"/>
        <w:bottom w:val="none" w:sz="0" w:space="0" w:color="auto"/>
        <w:right w:val="none" w:sz="0" w:space="0" w:color="auto"/>
      </w:divBdr>
      <w:divsChild>
        <w:div w:id="1495072961">
          <w:marLeft w:val="0"/>
          <w:marRight w:val="0"/>
          <w:marTop w:val="0"/>
          <w:marBottom w:val="0"/>
          <w:divBdr>
            <w:top w:val="none" w:sz="0" w:space="0" w:color="auto"/>
            <w:left w:val="none" w:sz="0" w:space="0" w:color="auto"/>
            <w:bottom w:val="none" w:sz="0" w:space="0" w:color="auto"/>
            <w:right w:val="none" w:sz="0" w:space="0" w:color="auto"/>
          </w:divBdr>
          <w:divsChild>
            <w:div w:id="1678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6622">
      <w:bodyDiv w:val="1"/>
      <w:marLeft w:val="0"/>
      <w:marRight w:val="0"/>
      <w:marTop w:val="0"/>
      <w:marBottom w:val="0"/>
      <w:divBdr>
        <w:top w:val="none" w:sz="0" w:space="0" w:color="auto"/>
        <w:left w:val="none" w:sz="0" w:space="0" w:color="auto"/>
        <w:bottom w:val="none" w:sz="0" w:space="0" w:color="auto"/>
        <w:right w:val="none" w:sz="0" w:space="0" w:color="auto"/>
      </w:divBdr>
      <w:divsChild>
        <w:div w:id="1811048678">
          <w:marLeft w:val="0"/>
          <w:marRight w:val="0"/>
          <w:marTop w:val="0"/>
          <w:marBottom w:val="0"/>
          <w:divBdr>
            <w:top w:val="none" w:sz="0" w:space="0" w:color="auto"/>
            <w:left w:val="none" w:sz="0" w:space="0" w:color="auto"/>
            <w:bottom w:val="none" w:sz="0" w:space="0" w:color="auto"/>
            <w:right w:val="none" w:sz="0" w:space="0" w:color="auto"/>
          </w:divBdr>
          <w:divsChild>
            <w:div w:id="13769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06067">
      <w:bodyDiv w:val="1"/>
      <w:marLeft w:val="0"/>
      <w:marRight w:val="0"/>
      <w:marTop w:val="0"/>
      <w:marBottom w:val="0"/>
      <w:divBdr>
        <w:top w:val="none" w:sz="0" w:space="0" w:color="auto"/>
        <w:left w:val="none" w:sz="0" w:space="0" w:color="auto"/>
        <w:bottom w:val="none" w:sz="0" w:space="0" w:color="auto"/>
        <w:right w:val="none" w:sz="0" w:space="0" w:color="auto"/>
      </w:divBdr>
      <w:divsChild>
        <w:div w:id="2096323546">
          <w:marLeft w:val="0"/>
          <w:marRight w:val="0"/>
          <w:marTop w:val="0"/>
          <w:marBottom w:val="0"/>
          <w:divBdr>
            <w:top w:val="none" w:sz="0" w:space="0" w:color="auto"/>
            <w:left w:val="none" w:sz="0" w:space="0" w:color="auto"/>
            <w:bottom w:val="none" w:sz="0" w:space="0" w:color="auto"/>
            <w:right w:val="none" w:sz="0" w:space="0" w:color="auto"/>
          </w:divBdr>
          <w:divsChild>
            <w:div w:id="202535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6236">
      <w:bodyDiv w:val="1"/>
      <w:marLeft w:val="0"/>
      <w:marRight w:val="0"/>
      <w:marTop w:val="0"/>
      <w:marBottom w:val="0"/>
      <w:divBdr>
        <w:top w:val="none" w:sz="0" w:space="0" w:color="auto"/>
        <w:left w:val="none" w:sz="0" w:space="0" w:color="auto"/>
        <w:bottom w:val="none" w:sz="0" w:space="0" w:color="auto"/>
        <w:right w:val="none" w:sz="0" w:space="0" w:color="auto"/>
      </w:divBdr>
      <w:divsChild>
        <w:div w:id="2087074679">
          <w:marLeft w:val="0"/>
          <w:marRight w:val="0"/>
          <w:marTop w:val="0"/>
          <w:marBottom w:val="0"/>
          <w:divBdr>
            <w:top w:val="none" w:sz="0" w:space="0" w:color="auto"/>
            <w:left w:val="none" w:sz="0" w:space="0" w:color="auto"/>
            <w:bottom w:val="none" w:sz="0" w:space="0" w:color="auto"/>
            <w:right w:val="none" w:sz="0" w:space="0" w:color="auto"/>
          </w:divBdr>
          <w:divsChild>
            <w:div w:id="7058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2376">
      <w:bodyDiv w:val="1"/>
      <w:marLeft w:val="0"/>
      <w:marRight w:val="0"/>
      <w:marTop w:val="0"/>
      <w:marBottom w:val="0"/>
      <w:divBdr>
        <w:top w:val="none" w:sz="0" w:space="0" w:color="auto"/>
        <w:left w:val="none" w:sz="0" w:space="0" w:color="auto"/>
        <w:bottom w:val="none" w:sz="0" w:space="0" w:color="auto"/>
        <w:right w:val="none" w:sz="0" w:space="0" w:color="auto"/>
      </w:divBdr>
      <w:divsChild>
        <w:div w:id="287011874">
          <w:marLeft w:val="0"/>
          <w:marRight w:val="0"/>
          <w:marTop w:val="0"/>
          <w:marBottom w:val="0"/>
          <w:divBdr>
            <w:top w:val="none" w:sz="0" w:space="0" w:color="auto"/>
            <w:left w:val="none" w:sz="0" w:space="0" w:color="auto"/>
            <w:bottom w:val="none" w:sz="0" w:space="0" w:color="auto"/>
            <w:right w:val="none" w:sz="0" w:space="0" w:color="auto"/>
          </w:divBdr>
          <w:divsChild>
            <w:div w:id="191785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204252">
      <w:bodyDiv w:val="1"/>
      <w:marLeft w:val="0"/>
      <w:marRight w:val="0"/>
      <w:marTop w:val="0"/>
      <w:marBottom w:val="0"/>
      <w:divBdr>
        <w:top w:val="none" w:sz="0" w:space="0" w:color="auto"/>
        <w:left w:val="none" w:sz="0" w:space="0" w:color="auto"/>
        <w:bottom w:val="none" w:sz="0" w:space="0" w:color="auto"/>
        <w:right w:val="none" w:sz="0" w:space="0" w:color="auto"/>
      </w:divBdr>
      <w:divsChild>
        <w:div w:id="838277975">
          <w:marLeft w:val="0"/>
          <w:marRight w:val="0"/>
          <w:marTop w:val="0"/>
          <w:marBottom w:val="0"/>
          <w:divBdr>
            <w:top w:val="none" w:sz="0" w:space="0" w:color="auto"/>
            <w:left w:val="none" w:sz="0" w:space="0" w:color="auto"/>
            <w:bottom w:val="none" w:sz="0" w:space="0" w:color="auto"/>
            <w:right w:val="none" w:sz="0" w:space="0" w:color="auto"/>
          </w:divBdr>
          <w:divsChild>
            <w:div w:id="127566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74186">
      <w:bodyDiv w:val="1"/>
      <w:marLeft w:val="0"/>
      <w:marRight w:val="0"/>
      <w:marTop w:val="0"/>
      <w:marBottom w:val="0"/>
      <w:divBdr>
        <w:top w:val="none" w:sz="0" w:space="0" w:color="auto"/>
        <w:left w:val="none" w:sz="0" w:space="0" w:color="auto"/>
        <w:bottom w:val="none" w:sz="0" w:space="0" w:color="auto"/>
        <w:right w:val="none" w:sz="0" w:space="0" w:color="auto"/>
      </w:divBdr>
      <w:divsChild>
        <w:div w:id="1688798615">
          <w:marLeft w:val="0"/>
          <w:marRight w:val="0"/>
          <w:marTop w:val="0"/>
          <w:marBottom w:val="0"/>
          <w:divBdr>
            <w:top w:val="none" w:sz="0" w:space="0" w:color="auto"/>
            <w:left w:val="none" w:sz="0" w:space="0" w:color="auto"/>
            <w:bottom w:val="none" w:sz="0" w:space="0" w:color="auto"/>
            <w:right w:val="none" w:sz="0" w:space="0" w:color="auto"/>
          </w:divBdr>
          <w:divsChild>
            <w:div w:id="89574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184779">
      <w:bodyDiv w:val="1"/>
      <w:marLeft w:val="0"/>
      <w:marRight w:val="0"/>
      <w:marTop w:val="0"/>
      <w:marBottom w:val="0"/>
      <w:divBdr>
        <w:top w:val="none" w:sz="0" w:space="0" w:color="auto"/>
        <w:left w:val="none" w:sz="0" w:space="0" w:color="auto"/>
        <w:bottom w:val="none" w:sz="0" w:space="0" w:color="auto"/>
        <w:right w:val="none" w:sz="0" w:space="0" w:color="auto"/>
      </w:divBdr>
      <w:divsChild>
        <w:div w:id="1143960530">
          <w:marLeft w:val="0"/>
          <w:marRight w:val="0"/>
          <w:marTop w:val="0"/>
          <w:marBottom w:val="0"/>
          <w:divBdr>
            <w:top w:val="none" w:sz="0" w:space="0" w:color="auto"/>
            <w:left w:val="none" w:sz="0" w:space="0" w:color="auto"/>
            <w:bottom w:val="none" w:sz="0" w:space="0" w:color="auto"/>
            <w:right w:val="none" w:sz="0" w:space="0" w:color="auto"/>
          </w:divBdr>
          <w:divsChild>
            <w:div w:id="145151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486614">
      <w:bodyDiv w:val="1"/>
      <w:marLeft w:val="0"/>
      <w:marRight w:val="0"/>
      <w:marTop w:val="0"/>
      <w:marBottom w:val="0"/>
      <w:divBdr>
        <w:top w:val="none" w:sz="0" w:space="0" w:color="auto"/>
        <w:left w:val="none" w:sz="0" w:space="0" w:color="auto"/>
        <w:bottom w:val="none" w:sz="0" w:space="0" w:color="auto"/>
        <w:right w:val="none" w:sz="0" w:space="0" w:color="auto"/>
      </w:divBdr>
      <w:divsChild>
        <w:div w:id="182403249">
          <w:marLeft w:val="0"/>
          <w:marRight w:val="0"/>
          <w:marTop w:val="0"/>
          <w:marBottom w:val="0"/>
          <w:divBdr>
            <w:top w:val="none" w:sz="0" w:space="0" w:color="auto"/>
            <w:left w:val="none" w:sz="0" w:space="0" w:color="auto"/>
            <w:bottom w:val="none" w:sz="0" w:space="0" w:color="auto"/>
            <w:right w:val="none" w:sz="0" w:space="0" w:color="auto"/>
          </w:divBdr>
          <w:divsChild>
            <w:div w:id="29787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582040">
      <w:bodyDiv w:val="1"/>
      <w:marLeft w:val="0"/>
      <w:marRight w:val="0"/>
      <w:marTop w:val="0"/>
      <w:marBottom w:val="0"/>
      <w:divBdr>
        <w:top w:val="none" w:sz="0" w:space="0" w:color="auto"/>
        <w:left w:val="none" w:sz="0" w:space="0" w:color="auto"/>
        <w:bottom w:val="none" w:sz="0" w:space="0" w:color="auto"/>
        <w:right w:val="none" w:sz="0" w:space="0" w:color="auto"/>
      </w:divBdr>
      <w:divsChild>
        <w:div w:id="110516346">
          <w:marLeft w:val="0"/>
          <w:marRight w:val="0"/>
          <w:marTop w:val="0"/>
          <w:marBottom w:val="0"/>
          <w:divBdr>
            <w:top w:val="none" w:sz="0" w:space="0" w:color="auto"/>
            <w:left w:val="none" w:sz="0" w:space="0" w:color="auto"/>
            <w:bottom w:val="none" w:sz="0" w:space="0" w:color="auto"/>
            <w:right w:val="none" w:sz="0" w:space="0" w:color="auto"/>
          </w:divBdr>
          <w:divsChild>
            <w:div w:id="91281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909447">
      <w:bodyDiv w:val="1"/>
      <w:marLeft w:val="0"/>
      <w:marRight w:val="0"/>
      <w:marTop w:val="0"/>
      <w:marBottom w:val="0"/>
      <w:divBdr>
        <w:top w:val="none" w:sz="0" w:space="0" w:color="auto"/>
        <w:left w:val="none" w:sz="0" w:space="0" w:color="auto"/>
        <w:bottom w:val="none" w:sz="0" w:space="0" w:color="auto"/>
        <w:right w:val="none" w:sz="0" w:space="0" w:color="auto"/>
      </w:divBdr>
      <w:divsChild>
        <w:div w:id="182403600">
          <w:marLeft w:val="0"/>
          <w:marRight w:val="0"/>
          <w:marTop w:val="0"/>
          <w:marBottom w:val="0"/>
          <w:divBdr>
            <w:top w:val="none" w:sz="0" w:space="0" w:color="auto"/>
            <w:left w:val="none" w:sz="0" w:space="0" w:color="auto"/>
            <w:bottom w:val="none" w:sz="0" w:space="0" w:color="auto"/>
            <w:right w:val="none" w:sz="0" w:space="0" w:color="auto"/>
          </w:divBdr>
          <w:divsChild>
            <w:div w:id="96050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96903">
      <w:bodyDiv w:val="1"/>
      <w:marLeft w:val="0"/>
      <w:marRight w:val="0"/>
      <w:marTop w:val="0"/>
      <w:marBottom w:val="0"/>
      <w:divBdr>
        <w:top w:val="none" w:sz="0" w:space="0" w:color="auto"/>
        <w:left w:val="none" w:sz="0" w:space="0" w:color="auto"/>
        <w:bottom w:val="none" w:sz="0" w:space="0" w:color="auto"/>
        <w:right w:val="none" w:sz="0" w:space="0" w:color="auto"/>
      </w:divBdr>
      <w:divsChild>
        <w:div w:id="20084874">
          <w:marLeft w:val="0"/>
          <w:marRight w:val="0"/>
          <w:marTop w:val="0"/>
          <w:marBottom w:val="0"/>
          <w:divBdr>
            <w:top w:val="none" w:sz="0" w:space="0" w:color="auto"/>
            <w:left w:val="none" w:sz="0" w:space="0" w:color="auto"/>
            <w:bottom w:val="none" w:sz="0" w:space="0" w:color="auto"/>
            <w:right w:val="none" w:sz="0" w:space="0" w:color="auto"/>
          </w:divBdr>
          <w:divsChild>
            <w:div w:id="174282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97585">
      <w:bodyDiv w:val="1"/>
      <w:marLeft w:val="0"/>
      <w:marRight w:val="0"/>
      <w:marTop w:val="0"/>
      <w:marBottom w:val="0"/>
      <w:divBdr>
        <w:top w:val="none" w:sz="0" w:space="0" w:color="auto"/>
        <w:left w:val="none" w:sz="0" w:space="0" w:color="auto"/>
        <w:bottom w:val="none" w:sz="0" w:space="0" w:color="auto"/>
        <w:right w:val="none" w:sz="0" w:space="0" w:color="auto"/>
      </w:divBdr>
      <w:divsChild>
        <w:div w:id="971986673">
          <w:marLeft w:val="0"/>
          <w:marRight w:val="0"/>
          <w:marTop w:val="0"/>
          <w:marBottom w:val="0"/>
          <w:divBdr>
            <w:top w:val="none" w:sz="0" w:space="0" w:color="auto"/>
            <w:left w:val="none" w:sz="0" w:space="0" w:color="auto"/>
            <w:bottom w:val="none" w:sz="0" w:space="0" w:color="auto"/>
            <w:right w:val="none" w:sz="0" w:space="0" w:color="auto"/>
          </w:divBdr>
          <w:divsChild>
            <w:div w:id="11175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69100">
      <w:bodyDiv w:val="1"/>
      <w:marLeft w:val="0"/>
      <w:marRight w:val="0"/>
      <w:marTop w:val="0"/>
      <w:marBottom w:val="0"/>
      <w:divBdr>
        <w:top w:val="none" w:sz="0" w:space="0" w:color="auto"/>
        <w:left w:val="none" w:sz="0" w:space="0" w:color="auto"/>
        <w:bottom w:val="none" w:sz="0" w:space="0" w:color="auto"/>
        <w:right w:val="none" w:sz="0" w:space="0" w:color="auto"/>
      </w:divBdr>
      <w:divsChild>
        <w:div w:id="52587093">
          <w:marLeft w:val="0"/>
          <w:marRight w:val="0"/>
          <w:marTop w:val="0"/>
          <w:marBottom w:val="0"/>
          <w:divBdr>
            <w:top w:val="none" w:sz="0" w:space="0" w:color="auto"/>
            <w:left w:val="none" w:sz="0" w:space="0" w:color="auto"/>
            <w:bottom w:val="none" w:sz="0" w:space="0" w:color="auto"/>
            <w:right w:val="none" w:sz="0" w:space="0" w:color="auto"/>
          </w:divBdr>
          <w:divsChild>
            <w:div w:id="452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87637">
      <w:bodyDiv w:val="1"/>
      <w:marLeft w:val="0"/>
      <w:marRight w:val="0"/>
      <w:marTop w:val="0"/>
      <w:marBottom w:val="0"/>
      <w:divBdr>
        <w:top w:val="none" w:sz="0" w:space="0" w:color="auto"/>
        <w:left w:val="none" w:sz="0" w:space="0" w:color="auto"/>
        <w:bottom w:val="none" w:sz="0" w:space="0" w:color="auto"/>
        <w:right w:val="none" w:sz="0" w:space="0" w:color="auto"/>
      </w:divBdr>
      <w:divsChild>
        <w:div w:id="826440148">
          <w:marLeft w:val="0"/>
          <w:marRight w:val="0"/>
          <w:marTop w:val="0"/>
          <w:marBottom w:val="0"/>
          <w:divBdr>
            <w:top w:val="none" w:sz="0" w:space="0" w:color="auto"/>
            <w:left w:val="none" w:sz="0" w:space="0" w:color="auto"/>
            <w:bottom w:val="none" w:sz="0" w:space="0" w:color="auto"/>
            <w:right w:val="none" w:sz="0" w:space="0" w:color="auto"/>
          </w:divBdr>
          <w:divsChild>
            <w:div w:id="130693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621202">
      <w:bodyDiv w:val="1"/>
      <w:marLeft w:val="0"/>
      <w:marRight w:val="0"/>
      <w:marTop w:val="0"/>
      <w:marBottom w:val="0"/>
      <w:divBdr>
        <w:top w:val="none" w:sz="0" w:space="0" w:color="auto"/>
        <w:left w:val="none" w:sz="0" w:space="0" w:color="auto"/>
        <w:bottom w:val="none" w:sz="0" w:space="0" w:color="auto"/>
        <w:right w:val="none" w:sz="0" w:space="0" w:color="auto"/>
      </w:divBdr>
      <w:divsChild>
        <w:div w:id="2010910897">
          <w:marLeft w:val="0"/>
          <w:marRight w:val="0"/>
          <w:marTop w:val="0"/>
          <w:marBottom w:val="0"/>
          <w:divBdr>
            <w:top w:val="none" w:sz="0" w:space="0" w:color="auto"/>
            <w:left w:val="none" w:sz="0" w:space="0" w:color="auto"/>
            <w:bottom w:val="none" w:sz="0" w:space="0" w:color="auto"/>
            <w:right w:val="none" w:sz="0" w:space="0" w:color="auto"/>
          </w:divBdr>
          <w:divsChild>
            <w:div w:id="28897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4972">
      <w:bodyDiv w:val="1"/>
      <w:marLeft w:val="0"/>
      <w:marRight w:val="0"/>
      <w:marTop w:val="0"/>
      <w:marBottom w:val="0"/>
      <w:divBdr>
        <w:top w:val="none" w:sz="0" w:space="0" w:color="auto"/>
        <w:left w:val="none" w:sz="0" w:space="0" w:color="auto"/>
        <w:bottom w:val="none" w:sz="0" w:space="0" w:color="auto"/>
        <w:right w:val="none" w:sz="0" w:space="0" w:color="auto"/>
      </w:divBdr>
      <w:divsChild>
        <w:div w:id="36900651">
          <w:marLeft w:val="0"/>
          <w:marRight w:val="0"/>
          <w:marTop w:val="0"/>
          <w:marBottom w:val="0"/>
          <w:divBdr>
            <w:top w:val="none" w:sz="0" w:space="0" w:color="auto"/>
            <w:left w:val="none" w:sz="0" w:space="0" w:color="auto"/>
            <w:bottom w:val="none" w:sz="0" w:space="0" w:color="auto"/>
            <w:right w:val="none" w:sz="0" w:space="0" w:color="auto"/>
          </w:divBdr>
          <w:divsChild>
            <w:div w:id="108934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703259">
      <w:bodyDiv w:val="1"/>
      <w:marLeft w:val="0"/>
      <w:marRight w:val="0"/>
      <w:marTop w:val="0"/>
      <w:marBottom w:val="0"/>
      <w:divBdr>
        <w:top w:val="none" w:sz="0" w:space="0" w:color="auto"/>
        <w:left w:val="none" w:sz="0" w:space="0" w:color="auto"/>
        <w:bottom w:val="none" w:sz="0" w:space="0" w:color="auto"/>
        <w:right w:val="none" w:sz="0" w:space="0" w:color="auto"/>
      </w:divBdr>
      <w:divsChild>
        <w:div w:id="1333872505">
          <w:marLeft w:val="0"/>
          <w:marRight w:val="0"/>
          <w:marTop w:val="0"/>
          <w:marBottom w:val="0"/>
          <w:divBdr>
            <w:top w:val="none" w:sz="0" w:space="0" w:color="auto"/>
            <w:left w:val="none" w:sz="0" w:space="0" w:color="auto"/>
            <w:bottom w:val="none" w:sz="0" w:space="0" w:color="auto"/>
            <w:right w:val="none" w:sz="0" w:space="0" w:color="auto"/>
          </w:divBdr>
          <w:divsChild>
            <w:div w:id="196596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634880">
      <w:bodyDiv w:val="1"/>
      <w:marLeft w:val="0"/>
      <w:marRight w:val="0"/>
      <w:marTop w:val="0"/>
      <w:marBottom w:val="0"/>
      <w:divBdr>
        <w:top w:val="none" w:sz="0" w:space="0" w:color="auto"/>
        <w:left w:val="none" w:sz="0" w:space="0" w:color="auto"/>
        <w:bottom w:val="none" w:sz="0" w:space="0" w:color="auto"/>
        <w:right w:val="none" w:sz="0" w:space="0" w:color="auto"/>
      </w:divBdr>
      <w:divsChild>
        <w:div w:id="677389791">
          <w:marLeft w:val="0"/>
          <w:marRight w:val="0"/>
          <w:marTop w:val="0"/>
          <w:marBottom w:val="0"/>
          <w:divBdr>
            <w:top w:val="none" w:sz="0" w:space="0" w:color="auto"/>
            <w:left w:val="none" w:sz="0" w:space="0" w:color="auto"/>
            <w:bottom w:val="none" w:sz="0" w:space="0" w:color="auto"/>
            <w:right w:val="none" w:sz="0" w:space="0" w:color="auto"/>
          </w:divBdr>
          <w:divsChild>
            <w:div w:id="145852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96215">
      <w:bodyDiv w:val="1"/>
      <w:marLeft w:val="0"/>
      <w:marRight w:val="0"/>
      <w:marTop w:val="0"/>
      <w:marBottom w:val="0"/>
      <w:divBdr>
        <w:top w:val="none" w:sz="0" w:space="0" w:color="auto"/>
        <w:left w:val="none" w:sz="0" w:space="0" w:color="auto"/>
        <w:bottom w:val="none" w:sz="0" w:space="0" w:color="auto"/>
        <w:right w:val="none" w:sz="0" w:space="0" w:color="auto"/>
      </w:divBdr>
      <w:divsChild>
        <w:div w:id="961614679">
          <w:marLeft w:val="0"/>
          <w:marRight w:val="0"/>
          <w:marTop w:val="0"/>
          <w:marBottom w:val="0"/>
          <w:divBdr>
            <w:top w:val="none" w:sz="0" w:space="0" w:color="auto"/>
            <w:left w:val="none" w:sz="0" w:space="0" w:color="auto"/>
            <w:bottom w:val="none" w:sz="0" w:space="0" w:color="auto"/>
            <w:right w:val="none" w:sz="0" w:space="0" w:color="auto"/>
          </w:divBdr>
          <w:divsChild>
            <w:div w:id="93633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30FF6-90EB-EC4C-8AEA-0EBCAAE1F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4612</Words>
  <Characters>24492</Characters>
  <Application>Microsoft Macintosh Word</Application>
  <DocSecurity>0</DocSecurity>
  <Lines>395</Lines>
  <Paragraphs>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29018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2012-03-30T18:15:00Z</cp:lastPrinted>
  <dcterms:created xsi:type="dcterms:W3CDTF">2012-04-22T15:30:00Z</dcterms:created>
  <dcterms:modified xsi:type="dcterms:W3CDTF">2012-06-02T13:44:00Z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oolsEventId">
    <vt:lpwstr>e6e7518a-f1b6-40b8-bf4a-96ac80582ea9</vt:lpwstr>
  </property>
  <property fmtid="{D5CDD505-2E9C-101B-9397-08002B2CF9AE}" pid="3" name="LexisNexisWordID">
    <vt:lpwstr>0dbf88ad-65a5-45f8-ad6b-ef238914a6fc</vt:lpwstr>
  </property>
</Properties>
</file>